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WCN</w:t>
      </w:r>
      <w:r>
        <w:rPr>
          <w:rFonts w:ascii="Calibri" w:hAnsi="Calibri"/>
          <w:b/>
          <w:color w:val="1A2010"/>
          <w:sz w:val="40"/>
        </w:rPr>
        <w:t xml:space="preserve">  Waste Connections, Inc.</w:t>
      </w:r>
    </w:p>
    <w:p>
      <w:pPr>
        <w:spacing w:after="120"/>
      </w:pPr>
      <w:r>
        <w:rPr>
          <w:rFonts w:ascii="Calibri" w:hAnsi="Calibri"/>
          <w:b/>
          <w:color w:val="6E8450"/>
          <w:sz w:val="18"/>
        </w:rPr>
        <w:t>GROWTH SLEEVE · 2026-04-24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Waste Management · NYSE · Canada</w:t>
      </w:r>
    </w:p>
    <w:p>
      <w:pPr>
        <w:spacing w:after="80"/>
      </w:pPr>
      <w:r>
        <w:rPr>
          <w:rFonts w:ascii="Calibri" w:hAnsi="Calibri"/>
          <w:b w:val="0"/>
          <w:color w:val="3A4A28"/>
          <w:sz w:val="20"/>
        </w:rPr>
        <w:t>Waste Connections provides non-hazardous waste collection, transfer, disposal, and recycling services across the United States and Canada. The company operates landfills, transfer stations, recycling facilities, and E&amp;P waste treatment operations, serving residential, commercial, municipal, and industrial customers.</w:t>
      </w:r>
    </w:p>
    <w:p>
      <w:r>
        <w:rPr>
          <w:rFonts w:ascii="Calibri" w:hAnsi="Calibri"/>
          <w:b/>
          <w:color w:val="6E8450"/>
          <w:sz w:val="18"/>
        </w:rPr>
        <w:t>24,214 Employees · https://www.wasteconnections.com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Waste Connections has executed a disciplined acquisition strategy, growing revenue from ~$5.4B in 2020 to $9.47B in 2025, with Q1 2026 revenue reaching $2.37B (up 6.4% YoY) driven by $55M in net acquisition contribution and 3.1% organic solid waste growth [1]. The R.B. Recycling acquisition and continued tuck-in M&amp;A demonstrate consistent expansion. AI Deployment (1/2): CIO Eric Hansen has discussed AI implementation at WasteExpo, and the company deploys AI-powered sorting platforms processing up to 60,000 tons of recycled goods, plus AI-enabled camera systems in collection trucks for route documentation [2]. Market Share (1/2): WCN is the third-largest waste hauler in North America behind Waste Management and Republic Services, with a focused strategy on exclusive secondary markets that reduces competition and supports pricing power [1]. Pipeline (1/2): Core pricing increases of 6% in Q1 2026 and continued M&amp;A pipeline support growth, with full-year 2026 revenue guidance of $9.90B–$9.95B [1]. R&amp;D Intensity (1/1): Technology deployment including AI sorting, route optimization, and RNG (renewable natural gas) projects represents above-average investment for the waste sector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Waste Connections articulates a purpose around 'servant leadership' and emphasizes a people-first culture, but the mission is functional rather than transformative — focused on operational excellence and community service without a distinctive higher-order cause [2]. Community Impact (2/2): The company has demonstrated meaningful community investment through its servant leadership model, local community engagement programs, and sustainability initiatives including a 19% reduction in Scope 1 and 2 emissions from the 2019 baseline and a 35% emissions intensity reduction [3]. Employee Retention (2/2): Voluntary turnover has been driven down over 50% from peak levels in 2022 to record lows, a standout metric for the waste industry where labor retention is a persistent challenge [3]. Insider Buying (0/2): Recent insider transaction data shows net selling activity, with officer Derek Tan selling shares at $171.03 and multiple executives receiving stock awards with no evidence of meaningful net insider buying in the last 12 months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Waste Connections delivers solid financial metrics for a waste services company. D/E of 117.1% is moderate for an acquisition-driven business model [4]. ROE of 13.1% falls slightly below the 15% target but reflects conservative capital allocation. Revenue growth of 6.4% YoY with an 11.7% five-year CAGR demonstrates consistent compounding through organic growth and acquisitions [1]. Forward P/E of 27.4x and PEG of 1.77 reflect premium valuation for a defensive, recession-resistant business. Profit margin of 11.0% is typical for waste services. Adjusted EBITDA margin expanded 90 bps to 32.5% in Q1 2026, with full-year guidance of 33.3%–33.4% [1]. Liquidity floor easily cleared: 1.58M avg volume × $168.89 = $266.8M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Waste Connections plays a patient, long-term game in a defensive industry. The servant leadership model, focus on exclusive secondary markets, and disciplined acquisition strategy reflect infinite game thinking. However, the company's purpose is functional rather than visionary, and its competitive strategy is about smart market selection rather than transformative ambition.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Waste Connections has a genuine cause centered on servant leadership and community-focused waste management, but it falls short of a true Just Cause in Sinek's framework (2/3 points). The purpose is well-articulated and informs strategic decisions — the company deliberately selects secondary markets where it can serve communities as the exclusive or dominant provider — but it describes effective operations rather than a vision of a future state worth sacrificing for [2][3].</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Strong evidence of a high-trust organization (2/2 points). Voluntary turnover has been cut by more than 50% from 2022 peaks to record lows, safety incident rates are at all-time bests, and the servant leadership culture is consistently cited in employee reviews [3]. The Executive Team is rated A+ on Comparably, in the top 5% of similar-sized companies. Glassdoor reviews highlight that 'every leader here practices Servant Leadership'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Infinite competitive mindset (1/1 point). Rather than trying to 'beat' Waste Management and Republic Services in their core urban markets, WCN deliberately chose to compete in secondary and exclusive markets where it can provide superior service. This strategic self-awareness — knowing where rivals are stronger and choosing to compete differently — exemplifies Sinek's worthy rival concept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flexibility evident (1/2 points). WCN has evolved from a pure waste hauler to include recycling, renewable natural gas (RNG) projects, E&amp;P waste services, and intermodal operations. The expansion into RNG demonstrates adaptation to the energy transition. However, these are incremental adjacencies rather than transformative pivots — the core business model of collecting and disposing of waste has remained unchanged since founding in 1997 [1][3].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courageous decisions evident (1/2 points). CEO Ronald Mittelstaedt has maintained discipline in acquisition pricing even when competitors bid aggressively, walking away from deals that don't meet return thresholds. The decision to focus on exclusive secondary markets rather than competing for large urban contracts represents a willingness to sacrifice scale for quality. However, these are prudent business decisions more than costly long-term bets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Waste Connections is a best-in-class waste services operator delivering consistent growth through disciplined M&amp;A and exclusive market positioning. Q1 2026 revenue of $2.37B grew 6.4% YoY with adjusted EBITDA margin expanding 90 bps to 32.5%, demonstrating operational leverage [1]. Full-year 2026 guidance of $9.90B–$9.95B revenue with 33.3%–33.4% EBITDA margins reflects continued improvement. The 11.2% five-year dividend CAGR, 50%+ reduction in voluntary turnover, and servant leadership culture create a defensive compounder with recession-resistant characteristics. At 27.4x forward P/E, the stock is reasonably valued for a high-quality waste franchise with visible growth from pricing, volume, and acquisitions.</w:t>
      </w:r>
    </w:p>
    <w:p>
      <w:pPr>
        <w:spacing w:after="120"/>
      </w:pPr>
      <w:r>
        <w:rPr>
          <w:rFonts w:ascii="Calibri" w:hAnsi="Calibri"/>
          <w:b w:val="0"/>
          <w:color w:val="3A4A28"/>
          <w:sz w:val="20"/>
        </w:rPr>
        <w:t>The bear case centers on premium valuation and slowing organic growth. Forward P/E of 27.4x and PEG of 1.77 embed high expectations for a business growing revenue at 6.4% organically [4]. Profit margin of 11.0% limits earnings leverage, and D/E of 117% reflects the debt-funded acquisition model that requires continued access to capital markets. EPS declined 7.6% YoY in the latest period despite revenue growth, suggesting acquisition integration costs or non-recurring charges are pressuring earnings. The waste industry faces commodity headwinds — recycled materials pricing volatility created 20–30 bps of margin drag in Q1 2026 [1]. Environmental regulations and landfill permitting risks could limit disposal capacity growth. If acquisition multiples continue rising, WCN's growth-through-M&amp;A model may face diminishing returns.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EBITDA margin expansion toward 33.3%–33.4% in FY2026 driven by pricing power, turnover improvements, and AI-enabled operational efficiencies [1]</w:t>
      </w:r>
    </w:p>
    <w:p>
      <w:pPr>
        <w:spacing w:before="40" w:after="40"/>
        <w:ind w:left="283"/>
      </w:pPr>
      <w:r>
        <w:rPr>
          <w:rFonts w:ascii="Calibri" w:hAnsi="Calibri"/>
          <w:b/>
          <w:color w:val="4A6B25"/>
          <w:sz w:val="20"/>
        </w:rPr>
        <w:t xml:space="preserve">2. </w:t>
      </w:r>
      <w:r>
        <w:rPr>
          <w:rFonts w:ascii="Calibri" w:hAnsi="Calibri"/>
          <w:b w:val="0"/>
          <w:color w:val="3A4A28"/>
          <w:sz w:val="20"/>
        </w:rPr>
        <w:t>Continued tuck-in acquisition pipeline in exclusive secondary markets, with $55M Q1 net acquisition contribution demonstrating disciplined deal flow [1]</w:t>
      </w:r>
    </w:p>
    <w:p>
      <w:pPr>
        <w:spacing w:before="40" w:after="40"/>
        <w:ind w:left="283"/>
      </w:pPr>
      <w:r>
        <w:rPr>
          <w:rFonts w:ascii="Calibri" w:hAnsi="Calibri"/>
          <w:b/>
          <w:color w:val="4A6B25"/>
          <w:sz w:val="20"/>
        </w:rPr>
        <w:t xml:space="preserve">3. </w:t>
      </w:r>
      <w:r>
        <w:rPr>
          <w:rFonts w:ascii="Calibri" w:hAnsi="Calibri"/>
          <w:b w:val="0"/>
          <w:color w:val="3A4A28"/>
          <w:sz w:val="20"/>
        </w:rPr>
        <w:t>Renewable natural gas (RNG) projects converting landfill gas to energy, adding high-margin revenue streams from environmental sustainability investments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Premium valuation at 27.4x forward P/E requires sustained mid-single-digit organic growth plus accretive M&amp;A — any execution stumble or acquisition integration failure would compress multiples [4]</w:t>
      </w:r>
    </w:p>
    <w:p>
      <w:pPr>
        <w:spacing w:before="40" w:after="40"/>
        <w:ind w:left="283"/>
      </w:pPr>
      <w:r>
        <w:rPr>
          <w:rFonts w:ascii="Calibri" w:hAnsi="Calibri"/>
          <w:b/>
          <w:color w:val="4A6B25"/>
          <w:sz w:val="20"/>
        </w:rPr>
        <w:t xml:space="preserve">2. </w:t>
      </w:r>
      <w:r>
        <w:rPr>
          <w:rFonts w:ascii="Calibri" w:hAnsi="Calibri"/>
          <w:b w:val="0"/>
          <w:color w:val="3A4A28"/>
          <w:sz w:val="20"/>
        </w:rPr>
        <w:t>Recycled commodity price volatility creating 20–30 bps of margin headwind, with exposure to paper, cardboard, and metals pricing that the company cannot control [1]</w:t>
      </w:r>
    </w:p>
    <w:p>
      <w:pPr>
        <w:spacing w:before="40" w:after="40"/>
        <w:ind w:left="283"/>
      </w:pPr>
      <w:r>
        <w:rPr>
          <w:rFonts w:ascii="Calibri" w:hAnsi="Calibri"/>
          <w:b/>
          <w:color w:val="4A6B25"/>
          <w:sz w:val="20"/>
        </w:rPr>
        <w:t xml:space="preserve">3. </w:t>
      </w:r>
      <w:r>
        <w:rPr>
          <w:rFonts w:ascii="Calibri" w:hAnsi="Calibri"/>
          <w:b w:val="0"/>
          <w:color w:val="3A4A28"/>
          <w:sz w:val="20"/>
        </w:rPr>
        <w:t>Environmental regulatory risk including landfill permitting delays, PFAS remediation liability, and tightening emissions standards that could increase compliance costs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Waste collection, landfill operations, and recycling are fundamentally physical-world businesses that AI cannot displace. Trucks must physically collect waste, landfills require permitted physical infrastructure, and regulatory permits create high barriers to entry [1]. AI actually benefits WCN as an efficiency enabler — AI-powered route optimization reduces fuel costs, AI sorting technology improves recycling yields, and predictive maintenance extends fleet life [2]. The waste industry is structurally immune to AI substitution; demand is non-discretionary and driven by population and economic activity. AI Opportunity (0/1): While WCN deploys AI internally for operational efficiency, it does not generate revenue from AI products or services — AI is a cost reducer, not a revenue driver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Waste Connections Q1 2026 Earnings Release — $2.37B revenue, 6.4% growth, 32.5% EBITDA margin, April 22, 2026</w:t>
      </w:r>
    </w:p>
    <w:p>
      <w:pPr>
        <w:spacing w:before="20" w:after="20"/>
        <w:ind w:left="170"/>
      </w:pPr>
      <w:r>
        <w:rPr>
          <w:rFonts w:ascii="Calibri" w:hAnsi="Calibri"/>
          <w:b/>
          <w:color w:val="4A6B25"/>
          <w:sz w:val="15"/>
        </w:rPr>
        <w:t xml:space="preserve">2. </w:t>
      </w:r>
      <w:r>
        <w:rPr>
          <w:rFonts w:ascii="Calibri" w:hAnsi="Calibri"/>
          <w:b w:val="0"/>
          <w:color w:val="3A4A28"/>
          <w:sz w:val="17"/>
        </w:rPr>
        <w:t>Waste Connections corporate website, Glassdoor reviews, Comparably executive ratings, WasteExpo AI panel discussion</w:t>
      </w:r>
    </w:p>
    <w:p>
      <w:pPr>
        <w:spacing w:before="20" w:after="20"/>
        <w:ind w:left="170"/>
      </w:pPr>
      <w:r>
        <w:rPr>
          <w:rFonts w:ascii="Calibri" w:hAnsi="Calibri"/>
          <w:b/>
          <w:color w:val="4A6B25"/>
          <w:sz w:val="15"/>
        </w:rPr>
        <w:t xml:space="preserve">3. </w:t>
      </w:r>
      <w:r>
        <w:rPr>
          <w:rFonts w:ascii="Calibri" w:hAnsi="Calibri"/>
          <w:b w:val="0"/>
          <w:color w:val="3A4A28"/>
          <w:sz w:val="17"/>
        </w:rPr>
        <w:t>Waste Connections 2024/2025 Sustainability Report — 19% Scope 1&amp;2 emissions reduction, 50%+ turnover reduction</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WCN (Waste Connections), retrieved April 24,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