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WDS</w:t>
      </w:r>
      <w:r>
        <w:rPr>
          <w:rFonts w:ascii="Calibri" w:hAnsi="Calibri"/>
          <w:b/>
          <w:color w:val="1A2010"/>
          <w:sz w:val="40"/>
        </w:rPr>
        <w:t xml:space="preserve">  Woodside Energy Group Limited</w:t>
      </w:r>
    </w:p>
    <w:p>
      <w:pPr>
        <w:spacing w:after="120"/>
      </w:pPr>
      <w:r>
        <w:rPr>
          <w:rFonts w:ascii="Calibri" w:hAnsi="Calibri"/>
          <w:b/>
          <w:color w:val="6E8450"/>
          <w:sz w:val="18"/>
        </w:rPr>
        <w:t>DIVIDEND SLEEVE · 2026-05-02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Australia</w:t>
      </w:r>
    </w:p>
    <w:p>
      <w:pPr>
        <w:spacing w:after="80"/>
      </w:pPr>
      <w:r>
        <w:rPr>
          <w:rFonts w:ascii="Calibri" w:hAnsi="Calibri"/>
          <w:b w:val="0"/>
          <w:color w:val="3A4A28"/>
          <w:sz w:val="20"/>
        </w:rPr>
        <w:t>Woodside Energy Group Ltd engages in the exploration, evaluation, development, production, marketing, and sale of hydrocarbons in the Asia Pacific, Africa, the Americas, and Europe. It produces liquefied natural gas, pipeline gas, crude oil and condensate, and natural gas liquids.</w:t>
      </w:r>
    </w:p>
    <w:p>
      <w:r>
        <w:rPr>
          <w:rFonts w:ascii="Calibri" w:hAnsi="Calibri"/>
          <w:b/>
          <w:color w:val="6E8450"/>
          <w:sz w:val="18"/>
        </w:rPr>
        <w:t>4,693 Employees · https://www.woodside.com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Woodside has deployed IBM Watson-based AI systems across operations to capture 30+ years of engineering knowledge and optimize production processes [1][2]. The Scarborough LNG megaproject targets first cargo in Q4 2026, demonstrating execution on a multi-billion-dollar pipeline [1]. However, R&amp;D intensity remains low relative to tech peers, and the company's core product (LNG/oil) faces long-term demand uncertainty from energy transition. Market share in Australian LNG is strong but commodity pricing limits differentiation.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Ms Westcott (appointed March 2026) emphasizes clarity, team-building, and strategic focus [2]. Glassdoor shows 76% recommendation rate and 4.0/5 work-life balance, indicating solid but not exceptional employee sentiment [2]. However, the company faces serious community trust issues—Traditional Custodians demanded a public apology for destruction of 4,000+ cultural heritage pieces, and 58% of shareholders rejected Woodside's climate plan in 2024 [3]. Insider buying data is not prominently positive.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 ratio of 34.4% is conservative for an energy major, and profit margin of 20.9% demonstrates operational efficiency [1]. However, ROE of just 7.2% is weak, revenue declined 11.1% YoY, and earnings fell 14.4% [1]. The 4.7% dividend yield with 74.6% payout ratio is sustainable but leaves limited reinvestment capacity. PEG of 1.33 suggests modest growth expectations. Q1 2026 revenue of $3.26B beat expectations by $200M, offering near-term stability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Woodside demonstrates mixed infinite game characteristics—investing in multi-decade LNG projects (Scarborough, Trion) while facing governance challenges around climate transition and stakeholder trust that undermine long-term social license to operate.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Woodside's stated purpose centers on providing energy the world needs, but the 58% shareholder rejection of its climate plan [3] and heavy reliance on carbon offsets rather than genuine decarbonization reveal a cause that lacks authenticity. The company's sustainability strategy is criticized as greenwashing by multiple stakeholders.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4.0/5 work-life balance and 76% recommendation rate suggest reasonable employee trust [2]. New CEO Westcott emphasizes team empowerment and clarity. However, rising operational fatalities (16 in 2023, up from 14 in 2022) and Sustainability Committee turnover raise questions about safety culture consistency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Woodside competes credibly against Shell, Santos, and Chevron in Asia-Pacific LNG. The Scarborough project positions it well against rivals, but stock has underperformed peers by 12% since Glass Lewis controversy alert [3], suggesting the market views competitors as better positioned for the transition.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Investment in Trion (Mexico deepwater oil) and Scarborough LNG demonstrates willingness to make bold capital bets. The company has explored hydrogen and CCS technologies. However, its overwhelming reliance on hydrocarbons with limited genuine diversification into renewables constrains existential flexibility relative to European majors.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Woodside has shown courage in pursuing major capital projects against market skepticism, but lacks courage on climate leadership—the rejected climate plan relied on offsets rather than structural change [3]. Allegations of attempting to breach international ocean protection commitments and cultural heritage destruction demonstrate governance failures rather than principled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Woodside Energy offers a solid dividend yield (4.76%) backed by long-life LNG assets and conservative leverage (D/E 34%), with near-term catalysts from Scarborough first cargo in Q4 2026. The company's AI-enhanced operations and Q1 2026 revenue beat ($3.26B vs expectations) demonstrate operational competence.</w:t>
      </w:r>
    </w:p>
    <w:p>
      <w:pPr>
        <w:spacing w:after="120"/>
      </w:pPr>
      <w:r>
        <w:rPr>
          <w:rFonts w:ascii="Calibri" w:hAnsi="Calibri"/>
          <w:b w:val="0"/>
          <w:color w:val="3A4A28"/>
          <w:sz w:val="20"/>
        </w:rPr>
        <w:t>However, significant ESG headwinds—shareholder climate plan rejection, Indigenous rights controversies, and Glass Lewis alerts—create governance risk that could constrain institutional ownership. Declining revenue (-11% YoY), weak ROE (7.2%), and heavy capex for growth projects pressure near-term returns. The stock is fairly valued but lacks catalysts for re-rating until Scarborough delivers and ESG concerns are addressed.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Scarborough LNG first cargo targeted Q4 2026 could unlock significant production growth and revenue uplift</w:t>
      </w:r>
    </w:p>
    <w:p>
      <w:pPr>
        <w:spacing w:before="40" w:after="40"/>
        <w:ind w:left="283"/>
      </w:pPr>
      <w:r>
        <w:rPr>
          <w:rFonts w:ascii="Calibri" w:hAnsi="Calibri"/>
          <w:b/>
          <w:color w:val="4A6B25"/>
          <w:sz w:val="20"/>
        </w:rPr>
        <w:t xml:space="preserve">2. </w:t>
      </w:r>
      <w:r>
        <w:rPr>
          <w:rFonts w:ascii="Calibri" w:hAnsi="Calibri"/>
          <w:b w:val="0"/>
          <w:color w:val="3A4A28"/>
          <w:sz w:val="20"/>
        </w:rPr>
        <w:t>New CEO Westcott (March 2026) may reset stakeholder relationships and improve governance perception</w:t>
      </w:r>
    </w:p>
    <w:p>
      <w:pPr>
        <w:spacing w:before="40" w:after="40"/>
        <w:ind w:left="283"/>
      </w:pPr>
      <w:r>
        <w:rPr>
          <w:rFonts w:ascii="Calibri" w:hAnsi="Calibri"/>
          <w:b/>
          <w:color w:val="4A6B25"/>
          <w:sz w:val="20"/>
        </w:rPr>
        <w:t xml:space="preserve">3. </w:t>
      </w:r>
      <w:r>
        <w:rPr>
          <w:rFonts w:ascii="Calibri" w:hAnsi="Calibri"/>
          <w:b w:val="0"/>
          <w:color w:val="3A4A28"/>
          <w:sz w:val="20"/>
        </w:rPr>
        <w:t>Q1 2026 revenue beat of $200M above expectations suggests production reliability exceeding market fears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58% shareholder rejection of climate plan creates ongoing governance overhang and potential institutional divestment pressure</w:t>
      </w:r>
    </w:p>
    <w:p>
      <w:pPr>
        <w:spacing w:before="40" w:after="40"/>
        <w:ind w:left="283"/>
      </w:pPr>
      <w:r>
        <w:rPr>
          <w:rFonts w:ascii="Calibri" w:hAnsi="Calibri"/>
          <w:b/>
          <w:color w:val="4A6B25"/>
          <w:sz w:val="20"/>
        </w:rPr>
        <w:t xml:space="preserve">2. </w:t>
      </w:r>
      <w:r>
        <w:rPr>
          <w:rFonts w:ascii="Calibri" w:hAnsi="Calibri"/>
          <w:b w:val="0"/>
          <w:color w:val="3A4A28"/>
          <w:sz w:val="20"/>
        </w:rPr>
        <w:t>Heavy capex cycle ($5B+ annually) with Scarborough and Trion execution risk during oil price volatility</w:t>
      </w:r>
    </w:p>
    <w:p>
      <w:pPr>
        <w:spacing w:before="40" w:after="40"/>
        <w:ind w:left="283"/>
      </w:pPr>
      <w:r>
        <w:rPr>
          <w:rFonts w:ascii="Calibri" w:hAnsi="Calibri"/>
          <w:b/>
          <w:color w:val="4A6B25"/>
          <w:sz w:val="20"/>
        </w:rPr>
        <w:t xml:space="preserve">3. </w:t>
      </w:r>
      <w:r>
        <w:rPr>
          <w:rFonts w:ascii="Calibri" w:hAnsi="Calibri"/>
          <w:b w:val="0"/>
          <w:color w:val="3A4A28"/>
          <w:sz w:val="20"/>
        </w:rPr>
        <w:t>Rising operational fatalities and Indigenous rights controversies threaten social license to operate in Australia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Woodside has been an early adopter of AI in energy operations, partnering with IBM to deploy cognitive computing for engineering knowledge management and predictive maintenance [2]. AI enhances operational efficiency in drilling, production optimization, and safety monitoring. However, AI does not fundamentally transform the commodity business model—revenue still depends on hydrocarbon prices. The energy transition powered by AI-driven renewables represents a moderate long-term threat to fossil fuel demand, partially offset by LNG's role as a transition fuel.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Woodside Energy Q1 2026 Quarterly Report — Revenue of $3.26B, April 2026</w:t>
      </w:r>
    </w:p>
    <w:p>
      <w:pPr>
        <w:spacing w:before="20" w:after="20"/>
        <w:ind w:left="170"/>
      </w:pPr>
      <w:r>
        <w:rPr>
          <w:rFonts w:ascii="Calibri" w:hAnsi="Calibri"/>
          <w:b/>
          <w:color w:val="4A6B25"/>
          <w:sz w:val="15"/>
        </w:rPr>
        <w:t xml:space="preserve">2. </w:t>
      </w:r>
      <w:r>
        <w:rPr>
          <w:rFonts w:ascii="Calibri" w:hAnsi="Calibri"/>
          <w:b w:val="0"/>
          <w:color w:val="3A4A28"/>
          <w:sz w:val="17"/>
        </w:rPr>
        <w:t>IBM Case Study — Woodside Energy AI/Cognitive Computing Partnership; Glassdoor Reviews (4.0/5 rating)</w:t>
      </w:r>
    </w:p>
    <w:p>
      <w:pPr>
        <w:spacing w:before="20" w:after="20"/>
        <w:ind w:left="170"/>
      </w:pPr>
      <w:r>
        <w:rPr>
          <w:rFonts w:ascii="Calibri" w:hAnsi="Calibri"/>
          <w:b/>
          <w:color w:val="4A6B25"/>
          <w:sz w:val="15"/>
        </w:rPr>
        <w:t xml:space="preserve">3. </w:t>
      </w:r>
      <w:r>
        <w:rPr>
          <w:rFonts w:ascii="Calibri" w:hAnsi="Calibri"/>
          <w:b w:val="0"/>
          <w:color w:val="3A4A28"/>
          <w:sz w:val="17"/>
        </w:rPr>
        <w:t>Glass Lewis ESG Controversy Alert — Woodside Energy Group; The Fifth Estate AGM Coverage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