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WEC</w:t>
      </w:r>
      <w:r>
        <w:rPr>
          <w:rFonts w:ascii="Calibri" w:hAnsi="Calibri"/>
          <w:b/>
          <w:color w:val="1A2010"/>
          <w:sz w:val="40"/>
        </w:rPr>
        <w:t xml:space="preserve">  WEC Energy Group, Inc.</w:t>
      </w:r>
    </w:p>
    <w:p>
      <w:pPr>
        <w:spacing w:after="120"/>
      </w:pPr>
      <w:r>
        <w:rPr>
          <w:rFonts w:ascii="Calibri" w:hAnsi="Calibri"/>
          <w:b/>
          <w:color w:val="6E8450"/>
          <w:sz w:val="18"/>
        </w:rPr>
        <w:t>DIVIDEND SLEEVE · 2026-04-15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WEC Energy Group is a Midwestern regulated utility holding company (We Energies, Wisconsin Public Service, Peoples Gas, North Shore Gas, Michigan Gas Utilities, Minnesota Energy Resources) serving 4.7M electric and gas customers. The company is executing a $37.5B capital plan tied to hyperscale data center demand growth from Microsoft, Vantage Data Centers (Oracle/OpenAI), and other I-94 corridor customers.</w:t>
      </w:r>
    </w:p>
    <w:p>
      <w:r>
        <w:rPr>
          <w:rFonts w:ascii="Calibri" w:hAnsi="Calibri"/>
          <w:b/>
          <w:color w:val="6E8450"/>
          <w:sz w:val="18"/>
        </w:rPr>
        <w:t>7,100 Employees · https://www.wecenergygroup.com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adjusted EPS of $5.27 was up $0.39 vs 2024, Q4 revenue grew 11.3% YoY, and the company has raised its dividend 23 consecutive years — a steady operational record [1][4]. AI Deployment (0/2): Innovation for a regulated utility is about grid investment, not in-house AI; WEC is an AI-infrastructure enabler rather than developer [1][2]. Market Share (2/2): Dominant regulated utility in Wisconsin with additional franchises in Illinois, Michigan, and Minnesota — regulated monopoly service territories provide effective market share certainty [2]. Pipeline (2/2): $37.5B five-year capital plan anchored by Microsoft's 500MW data center expansion and Vantage Data Centers' $15B Oracle/OpenAI buildout represents one of the strongest load-growth pipelines among US regulated utilities [1][2]. R&amp;D Intensity (0/1): Regulated utilities do not compete on R&amp;D; the bulk of innovation spend flows through rate-based capex rather than labs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WEC's mission of safe, reliable, affordable, clean energy for 4.7M customers is concrete and executed consistently; carbon emissions were reduced 54% vs 2005 by end of 2023, progressing toward 60% by 2025 and 80% by 2030 [3]. Community Impact (2/2): Inspire Insight assigns +41 with 16 positive attributions including Environmental Risk Mitigation, GHG Emissions, Low Ecological Impact, Product Access and Affordability, and Waste and Hazmat Management — unusually strong ESG attribution density [CSV]. Employee Retention (1/2): WEC maintains stable unionized workforce of ~7,100 employees; Glassdoor data was not prominently surfaced in search results [2]. Insider Buying (1/2): 23 consecutive years of dividend increases (6.7% increase in 2026 to $0.9525 quarterly) signals management alignment with shareholder returns [1][4].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easily cleared: 2.24M avg volume x $116.50 ≈ $261M daily turnover [5]. Revenue growth of 11.1% TTM is strong for a utility, profit margin 15.9%, and ROE 11.6% are in the normal utility range [5]. Forward P/E of 19.4x vs trailing 24.2x reflects expected EPS growth to $5.51–$5.61 in 2026 (roughly 5-6% growth) and long-term EPS CAGR guidance of 7–8% [1]. Dividend yield of ~3.3% with 23 years of consecutive growth and 6.7% 2026 raise is a premium income profile, though payout is elevated [4]. Debt-to-equity of 159% is typical for a regulated utility funding a $37.5B capex program, but earnings growth of -32.5% YoY (yfinance GAAP) reflects one-time items and capex ramp; adjusted metrics are cleaner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WEC has played the regulated utility game for over a century — 23 consecutive years of dividend growth, a $37.5B multi-decade capex plan, and aggressive decarbonization targets reflect infinite-game thinking. The MIXED rather than INFINITE rating reflects environmental activist pushback on 3,000MW of new/converted gas plants that extend carbon exposure past 2030 decarbonization targets, raising legitimate questions about whether management is optimizing for allowed rate-base growth over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Delivering reliable, affordable, increasingly clean energy to 4.7M customers is a concrete cause reinforced by the 80% carbon reduction target by 2030 and a 2032 coal phase-out [3]. The tension between new 3,000MW of gas plants and these targets tempers the score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Long-tenured management (CEO Scott Lauber rose internally after decades at WEC), stable union workforce, and recognition as one of Wisconsin's Most Influential Business Leaders indicate a trust-based operating culture [2]. No major governance crises surfaced.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WEC does not face direct rivals in its regulated territory but benchmarks against peer utilities (Xcel, NextEra, Ameren) on capex execution and regulatory capital costs [1]. The Sierra Club and environmental coalitions act as civic rivals, and WEC's public engagement on gas plant investments is mixed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coal-heavy generation to a data-center-anchored $37.5B capex plan, coal phase-out by 2032, and renewable natural gas investments represents meaningful strategic flexibility [1][2][3]. Multi-decade planning horizon is a hallmark of infinite-game execution.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Coal phase-out by 2032 is a leadership move in the Midwest region, and 23 consecutive dividend increases through economic cycles show principled capital allocation [1][4]. However, continuing to add 3,000MW of new or converted gas capacity against the Sierra Club coalition's opposition reflects conventional regulated-utility growth logic rather than bold climate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WEC Energy Group is a high-quality Midwestern regulated utility benefiting from a uniquely powerful hyperscale data center load-growth catalyst that is funding a $37.5B capital plan and reaffirmed 7–8% long-term EPS CAGR [1][2]. FY2025 delivered adjusted EPS of $5.27 (up $0.39) and Q4 revenue of $2.54B (+11.3% YoY), and management guides 2026 EPS to $5.51–$5.61 [1]. Microsoft's I-94 corridor complex (+500MW recently added) plus Vantage Data Centers' $15B Oracle/OpenAI buildout provide multi-decade visible load growth, and the board raised the dividend 6.7% in January 2026 — the 23rd consecutive annual increase — now yielding ~3.3% [1][4]. Inspire Insight assigns +41 with 16 positive attributions including GHG Emissions and Environmental Risk Mitigation, making WEC one of the more faith-aligned utilities in the universe [CSV].</w:t>
      </w:r>
    </w:p>
    <w:p>
      <w:pPr>
        <w:spacing w:after="120"/>
      </w:pPr>
      <w:r>
        <w:rPr>
          <w:rFonts w:ascii="Calibri" w:hAnsi="Calibri"/>
          <w:b w:val="0"/>
          <w:color w:val="3A4A28"/>
          <w:sz w:val="20"/>
        </w:rPr>
        <w:t>The bear case centers on execution risk and environmental strategy tension. Debt-to-equity of 159% and a $37.5B capex program require sustained regulatory capital recovery and access to debt markets at reasonable rates — a rising-rate environment could compress returns and force equity issuance [1][5]. Sierra Club and allied coalitions are publicly opposing WEC's plan to build 1,300MW of new gas plants and convert 2,000MW of coal to gas, a 3,000MW gas footprint that may persist past the 2030 80% carbon reduction deadline, creating regulatory and reputational risk [3]. Reported YoY earnings growth of -32.5% per yfinance reflects one-time items and a mismatch with adjusted EPS; investors must monitor rate cases and equity issuances closely. Forward P/E of 19.4x is fair for a 7–8% EPS grower with a durable dividend, but upside requires data center execution to match management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I-94 corridor data center buildout adding 500MW+ to load forecast, with 15 additional data center buildings cleared and energy already flowing to the first phase [1][2]</w:t>
      </w:r>
    </w:p>
    <w:p>
      <w:pPr>
        <w:spacing w:before="40" w:after="40"/>
        <w:ind w:left="283"/>
      </w:pPr>
      <w:r>
        <w:rPr>
          <w:rFonts w:ascii="Calibri" w:hAnsi="Calibri"/>
          <w:b/>
          <w:color w:val="4A6B25"/>
          <w:sz w:val="20"/>
        </w:rPr>
        <w:t xml:space="preserve">2. </w:t>
      </w:r>
      <w:r>
        <w:rPr>
          <w:rFonts w:ascii="Calibri" w:hAnsi="Calibri"/>
          <w:b w:val="0"/>
          <w:color w:val="3A4A28"/>
          <w:sz w:val="20"/>
        </w:rPr>
        <w:t>Vantage Data Centers' $15B Oracle/OpenAI-anchored 670-acre first phase breaking ground in December 2025 and targeting 2028 completion, anchoring rate-base growth through decade [2]</w:t>
      </w:r>
    </w:p>
    <w:p>
      <w:pPr>
        <w:spacing w:before="40" w:after="40"/>
        <w:ind w:left="283"/>
      </w:pPr>
      <w:r>
        <w:rPr>
          <w:rFonts w:ascii="Calibri" w:hAnsi="Calibri"/>
          <w:b/>
          <w:color w:val="4A6B25"/>
          <w:sz w:val="20"/>
        </w:rPr>
        <w:t xml:space="preserve">3. </w:t>
      </w:r>
      <w:r>
        <w:rPr>
          <w:rFonts w:ascii="Calibri" w:hAnsi="Calibri"/>
          <w:b w:val="0"/>
          <w:color w:val="3A4A28"/>
          <w:sz w:val="20"/>
        </w:rPr>
        <w:t>23rd consecutive dividend increase (6.7% in 2026) with 7–8% long-term EPS CAGR guidance support a durable total-return profile at ~3.3% yield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and environmental risk — Sierra Club coalition opposition to 3,000MW of new/converted gas plants threatens rate-case outcomes and long-term carbon commitments [3]</w:t>
      </w:r>
    </w:p>
    <w:p>
      <w:pPr>
        <w:spacing w:before="40" w:after="40"/>
        <w:ind w:left="283"/>
      </w:pPr>
      <w:r>
        <w:rPr>
          <w:rFonts w:ascii="Calibri" w:hAnsi="Calibri"/>
          <w:b/>
          <w:color w:val="4A6B25"/>
          <w:sz w:val="20"/>
        </w:rPr>
        <w:t xml:space="preserve">2. </w:t>
      </w:r>
      <w:r>
        <w:rPr>
          <w:rFonts w:ascii="Calibri" w:hAnsi="Calibri"/>
          <w:b w:val="0"/>
          <w:color w:val="3A4A28"/>
          <w:sz w:val="20"/>
        </w:rPr>
        <w:t>Capex financing risk — a $37.5B multi-year capex plan against 159% debt-to-equity requires consistent debt market access; rising rates or credit spreads could force dilutive equity issuance [1][5]</w:t>
      </w:r>
    </w:p>
    <w:p>
      <w:pPr>
        <w:spacing w:before="40" w:after="40"/>
        <w:ind w:left="283"/>
      </w:pPr>
      <w:r>
        <w:rPr>
          <w:rFonts w:ascii="Calibri" w:hAnsi="Calibri"/>
          <w:b/>
          <w:color w:val="4A6B25"/>
          <w:sz w:val="20"/>
        </w:rPr>
        <w:t xml:space="preserve">3. </w:t>
      </w:r>
      <w:r>
        <w:rPr>
          <w:rFonts w:ascii="Calibri" w:hAnsi="Calibri"/>
          <w:b w:val="0"/>
          <w:color w:val="3A4A28"/>
          <w:sz w:val="20"/>
        </w:rPr>
        <w:t>Data center execution risk — if Microsoft or Vantage delay expansion or reduce planned capacity, forecast load growth and the associated rate-base investment thesis would deteriorate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WEC is a pure AI-infrastructure beneficiary — Microsoft's 500MW I-94 corridor data center expansion and Vantage Data Centers' $15B Oracle/OpenAI-anchored 670-acre phase are anchoring a $37.5B rate-based capex program that drives regulated earnings growth for decades [1][2]. Regulated electric utilities are structurally immune to AI disruption: AI needs electrons, and WEC is the monopoly supplier in its service territory [2]. AI Opportunity (1/1): Beyond serving data center load, WEC can deploy AI internally for grid optimization, predictive maintenance, and outage management, with costs rate-based — a rare sector where AI spend is recovered through regulated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WEC Energy Group Q4 2025 Earnings Release and Call — $5.27 FY25 adj EPS, $2.54B Q4 revenue (+11.3%), 2026 EPS guide $5.51–$5.61, PRNewswire / Motley Fool,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StockTitan — WEC $37.5B capex plan, Microsoft 500MW I-94 expansion, Vantage Data Centers $15B Oracle/OpenAI buildout, February 2026</w:t>
      </w:r>
    </w:p>
    <w:p>
      <w:pPr>
        <w:spacing w:before="20" w:after="20"/>
        <w:ind w:left="170"/>
      </w:pPr>
      <w:r>
        <w:rPr>
          <w:rFonts w:ascii="Calibri" w:hAnsi="Calibri"/>
          <w:b/>
          <w:color w:val="4A6B25"/>
          <w:sz w:val="15"/>
        </w:rPr>
        <w:t xml:space="preserve">3. </w:t>
      </w:r>
      <w:r>
        <w:rPr>
          <w:rFonts w:ascii="Calibri" w:hAnsi="Calibri"/>
          <w:b w:val="0"/>
          <w:color w:val="3A4A28"/>
          <w:sz w:val="17"/>
        </w:rPr>
        <w:t>Sierra Club / WEC Corporate Responsibility Report — 60%/80% carbon reduction targets by 2025/2030, coal phase-out 2032, 3,000MW new/converted gas plant opposition, 2024–2025</w:t>
      </w:r>
    </w:p>
    <w:p>
      <w:pPr>
        <w:spacing w:before="20" w:after="20"/>
        <w:ind w:left="170"/>
      </w:pPr>
      <w:r>
        <w:rPr>
          <w:rFonts w:ascii="Calibri" w:hAnsi="Calibri"/>
          <w:b/>
          <w:color w:val="4A6B25"/>
          <w:sz w:val="15"/>
        </w:rPr>
        <w:t xml:space="preserve">4. </w:t>
      </w:r>
      <w:r>
        <w:rPr>
          <w:rFonts w:ascii="Calibri" w:hAnsi="Calibri"/>
          <w:b w:val="0"/>
          <w:color w:val="3A4A28"/>
          <w:sz w:val="17"/>
        </w:rPr>
        <w:t>WEC Energy Group Investor Relations — 23rd consecutive dividend increase (+6.7%) to $0.9525 quarterly, January 22,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WEC (WEC Energy Group),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