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WES</w:t>
      </w:r>
      <w:r>
        <w:rPr>
          <w:rFonts w:ascii="Calibri" w:hAnsi="Calibri"/>
          <w:b/>
          <w:color w:val="1A2010"/>
          <w:sz w:val="40"/>
        </w:rPr>
        <w:t xml:space="preserve">  Western Midstream Partners, LP</w:t>
      </w:r>
    </w:p>
    <w:p>
      <w:pPr>
        <w:spacing w:after="120"/>
      </w:pPr>
      <w:r>
        <w:rPr>
          <w:rFonts w:ascii="Calibri" w:hAnsi="Calibri"/>
          <w:b/>
          <w:color w:val="6E8450"/>
          <w:sz w:val="18"/>
        </w:rPr>
        <w:t>DIVIDEND SLEEVE · 2026-04-27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Western Midstream Partners is a master limited partnership that develops and operates midstream energy assets primarily in the United States. The partnership gathers, compresses, treats, processes, and transports natural gas; gathers, stabilizes, and transports condensate, NGLs, and crude oil; and gathers and disposes of produced water. Operations are concentrated in the Delaware and DJ Basins with fee-based contracts that provide commodity price protection.</w:t>
      </w:r>
    </w:p>
    <w:p>
      <w:r>
        <w:rPr>
          <w:rFonts w:ascii="Calibri" w:hAnsi="Calibri"/>
          <w:b/>
          <w:color w:val="6E8450"/>
          <w:sz w:val="18"/>
        </w:rPr>
        <w:t>1,704 Employees · https://www.westernmidstream.com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WES has delivered consistent operational performance, achieving record adjusted EBITDA in Q4 2025, but the business model — gathering, processing, and transporting hydrocarbons — has not fundamentally changed in the last 5 years [1]. Growth has come from organic volume expansion and bolt-on acquisitions rather than transformative innovation. AI Deployment (0/2): No evidence of AI-powered products, services, or quantified AI-driven operational savings. Midstream operations remain largely traditional with incremental automation [3]. Market Share (1/2): WES is a meaningful midstream operator in the Delaware and DJ Basins with strong positioning in key producing regions, but competes against larger peers like Enterprise Products Partners, Energy Transfer, and Williams Companies [1]. Pipeline (1/2): 2026 guidance includes $850M-$1.0B in capital spending with adjusted EBITDA of $2.5-$2.7B, and carbon capture pilots suggest some forward-looking investment, but no specific next-gen projects with defined timelines [1][2]. R&amp;D Intensity (1/1): WES invests in emissions reduction technologies including electrification of compressor stations and carbon capture pilots, exceeding typical midstream R&amp;D levels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WES's stated focus is 'upholding foundational principles and core values' while delivering energy infrastructure — functional but generic, interchangeable with most midstream MLPs [3]. The sustainability framework addresses environmental stewardship but is not distinctively purposeful. Community Impact (1/2): WES maintains community engagement programs through its sustainability initiatives and ESG committee, with specific focus on methane reduction and environmental stewardship in operating areas, though no distinctive large-scale philanthropic programs are highlighted [4]. Employee Retention (1/2): CEO Oscar Brown's appointment in October 2024 brought 30+ years of energy experience and prior ESG committee leadership, suggesting organizational stability; the 1,704 employees operate essential infrastructure with operational continuity, but specific retention metrics are unavailable [3]. Insider Buying (1/2): Brown took the CEO role with significant equity alignment, and distribution increases signal management confidence, but no specific insider purchase transactions were identified in recent filings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WES delivers an attractive financial profile for a midstream MLP with strong cash generation metrics. Revenue of $3.84B grew 11.1% YoY with profit margin of 30.0% and ROE of 32.2% — both strong for the midstream sector [1][5]. Forward P/E of 11.0x is deeply discounted, reflecting MLP structure discount and energy sector sentiment rather than fundamental weakness. Adjusted EBITDA guidance of $2.5-$2.7B (5% growth at midpoint) provides visibility [1][2]. D/E of 211.8% is the primary weakness — $8.8B in debt is typical for capital-intensive midstream operations but constrains balance sheet flexibility [5]. The distribution profile is excellent: $3.72 annualized yield of 9.1%, with 18.3% 5-year distribution growth CAGR, 14 consecutive years of payments, and DCF guidance of $4.59-$5.08/unit providing ~75% coverage at the midpoint [2]. GAAP payout ratio of 121% reflects MLP accounting distortions; distributable cash flow comfortably covers the distribution. Liquidity floor cleared at $60.8M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Western Midstream operates essential energy infrastructure with long-lived physical assets and long-term contracts that inherently require multi-decade thinking. However, the partnership structure optimizes for quarterly distributions to unitholders rather than long-term capability building. The CEO transition from Ure to Brown in October 2024 disrupts leadership continuity, and the dependency on Occidental Petroleum's production decisions creates a principal-agent dynamic that limits WES's strategic autonomy.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WES's purpose — operating midstream infrastructure to connect energy production to markets — is essential but lacks idealism. The company does not articulate a vision of a better future beyond reliable energy transportation [3]. CEO Brown's emphasis on 'foundational principles and core values' is generic. Midstream MLPs exist to generate distributable cash flow, not to advance a transformative cause. The sustainability initiatives (methane reduction, carbon capture) suggest some purpose beyond profit, but they are defensive rather than visionary.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WES employs 1,704 people operating essential infrastructure across Texas, New Mexico, Wyoming, and other states, requiring high operational trust in remote field operations [3]. The recent CEO transition (Brown replacing Ure in October 2024) creates some organizational uncertainty, though Brown's 5-year board tenure and 30+ years of energy experience suggest a smooth transition. No evidence of exceptional cultural practices or significant trust concerns.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WES competes against Enterprise Products Partners, Energy Transfer, and Williams Companies, but the partnership's competitive language focuses on asset positioning and distribution growth rather than learning from rivals' strengths [1]. The Occidental relationship provides captive volumes that reduce competitive pressure, potentially limiting the competitive improvement mindset Sinek values. (0/1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WES has operated the same midstream gathering and processing business model since its formation, with no transformative pivot or reinvention [1]. The partnership has evolved incrementally through acquisitions and organic expansion into new basins, but the core model — own pipes, process gas, collect fees — has not changed. Carbon capture pilots represent early-stage diversification but not existential flexibility.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WES demonstrated courage by raising its distribution to $3.72 annualized despite guiding for low-to-mid single-digit throughput declines in crude oil and NGLs in 2026, signaling confidence in the fee-based model's resilience [2]. The capital spending discipline ($850M-$1.0B, lower than prior year) while maintaining distribution growth shows willingness to prioritize returns over growth. However, the MLP structure inherently favors distributions over long-term reinvestment.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Western Midstream Partners offers a compelling 9.1% distribution yield backed by fee-based midstream infrastructure with improving fundamentals. The partnership guides 2026 adjusted EBITDA of $2.5-$2.7B (5% growth at midpoint) with DCF of $4.59-$5.08/unit, providing ~75% coverage of the $3.72 annualized distribution at the low end of guidance [1][2]. Revenue of $3.84B grew 11.1% YoY with ROE of 32.2% and profit margin of 30.0%, and the forward P/E of 11.0x offers significant value in a sector benefiting from AI-driven data center power demand [5]. The 18.3% 5-year distribution growth CAGR and recent increase to $0.93/quarter demonstrate management's commitment to returning capital. Fee-based contracts protect against commodity price volatility, and essential physical infrastructure creates a durable competitive moat [1].</w:t>
      </w:r>
    </w:p>
    <w:p>
      <w:pPr>
        <w:spacing w:after="120"/>
      </w:pPr>
      <w:r>
        <w:rPr>
          <w:rFonts w:ascii="Calibri" w:hAnsi="Calibri"/>
          <w:b w:val="0"/>
          <w:color w:val="3A4A28"/>
          <w:sz w:val="20"/>
        </w:rPr>
        <w:t>The bear case centers on throughput headwinds, leverage, and structural MLP limitations. WES expects low-to-mid single-digit declines in crude oil and NGL throughput in 2026, and DJ Basin volumes could fall mid-to-high single digits — a concerning trend for a gathering-focused MLP whose revenue depends on production volumes [2]. D/E of 211.8% ($8.8B debt) creates significant financial risk if volumes decline faster than expected or if interest rates remain elevated [5]. Q4 2025 net income fell sharply to $187M despite revenue growth, with EPS declining 45.2% YoY — a potential signal of margin compression [1]. Dependency on Occidental Petroleum for a significant portion of volumes creates concentration risk tied to Oxy's production decisions. The MLP structure generates K-1 tax complexity and limits the investor base. The GAAP payout ratio of 121% (though covered by DCF) signals that reported earnings do not support the distribution level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Distribution increase to $3.72 annualized ($0.93/quarter) with 2026 DCF guidance of $4.59-$5.08/unit providing sustainable coverage and potential for further increases [2]</w:t>
      </w:r>
    </w:p>
    <w:p>
      <w:pPr>
        <w:spacing w:before="40" w:after="40"/>
        <w:ind w:left="283"/>
      </w:pPr>
      <w:r>
        <w:rPr>
          <w:rFonts w:ascii="Calibri" w:hAnsi="Calibri"/>
          <w:b/>
          <w:color w:val="4A6B25"/>
          <w:sz w:val="20"/>
        </w:rPr>
        <w:t xml:space="preserve">2. </w:t>
      </w:r>
      <w:r>
        <w:rPr>
          <w:rFonts w:ascii="Calibri" w:hAnsi="Calibri"/>
          <w:b w:val="0"/>
          <w:color w:val="3A4A28"/>
          <w:sz w:val="20"/>
        </w:rPr>
        <w:t>AI-driven data center buildout increasing demand for natural gas-fired power generation, driving production growth in WES's Delaware and DJ Basin operating areas [1]</w:t>
      </w:r>
    </w:p>
    <w:p>
      <w:pPr>
        <w:spacing w:before="40" w:after="40"/>
        <w:ind w:left="283"/>
      </w:pPr>
      <w:r>
        <w:rPr>
          <w:rFonts w:ascii="Calibri" w:hAnsi="Calibri"/>
          <w:b/>
          <w:color w:val="4A6B25"/>
          <w:sz w:val="20"/>
        </w:rPr>
        <w:t xml:space="preserve">3. </w:t>
      </w:r>
      <w:r>
        <w:rPr>
          <w:rFonts w:ascii="Calibri" w:hAnsi="Calibri"/>
          <w:b w:val="0"/>
          <w:color w:val="3A4A28"/>
          <w:sz w:val="20"/>
        </w:rPr>
        <w:t>Carbon capture pilots and compressor station electrification positioning WES for the energy transition while reducing methane emissions and operating costs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Throughput decline guidance — low-to-mid single-digit crude/NGL decline and mid-to-high single-digit DJ Basin volume decline in 2026 threaten the revenue base of a volume-dependent midstream operator [2]</w:t>
      </w:r>
    </w:p>
    <w:p>
      <w:pPr>
        <w:spacing w:before="40" w:after="40"/>
        <w:ind w:left="283"/>
      </w:pPr>
      <w:r>
        <w:rPr>
          <w:rFonts w:ascii="Calibri" w:hAnsi="Calibri"/>
          <w:b/>
          <w:color w:val="4A6B25"/>
          <w:sz w:val="20"/>
        </w:rPr>
        <w:t xml:space="preserve">2. </w:t>
      </w:r>
      <w:r>
        <w:rPr>
          <w:rFonts w:ascii="Calibri" w:hAnsi="Calibri"/>
          <w:b w:val="0"/>
          <w:color w:val="3A4A28"/>
          <w:sz w:val="20"/>
        </w:rPr>
        <w:t>Leverage of 211.8% D/E ($8.8B debt) constrains financial flexibility and amplifies risk during production downturns or sustained high interest rate environments [5]</w:t>
      </w:r>
    </w:p>
    <w:p>
      <w:pPr>
        <w:spacing w:before="40" w:after="40"/>
        <w:ind w:left="283"/>
      </w:pPr>
      <w:r>
        <w:rPr>
          <w:rFonts w:ascii="Calibri" w:hAnsi="Calibri"/>
          <w:b/>
          <w:color w:val="4A6B25"/>
          <w:sz w:val="20"/>
        </w:rPr>
        <w:t xml:space="preserve">3. </w:t>
      </w:r>
      <w:r>
        <w:rPr>
          <w:rFonts w:ascii="Calibri" w:hAnsi="Calibri"/>
          <w:b w:val="0"/>
          <w:color w:val="3A4A28"/>
          <w:sz w:val="20"/>
        </w:rPr>
        <w:t>Occidental Petroleum concentration — a significant portion of WES volumes depend on Oxy's production decisions, and any Oxy divestiture of its WES ownership stake could create unit price overhang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WES operates physical midstream infrastructure — pipelines, processing plants, compressor stations, and water disposal facilities — that AI structurally cannot replace or substitute [1]. Gathering and transporting natural gas, NGLs, and produced water requires physical assets in specific geographic locations connected to producing wells. AI data center expansion actually increases demand for natural gas (power generation) and thus midstream throughput. Fee-based contracts (majority of revenue) further insulate WES from both commodity price volatility and AI disruption. Analysts see zero substitution risk for midstream infrastructure from AI [3]. AI Opportunity (1/1): WES is deploying AI for pipeline leak detection, predictive maintenance, and emissions monitoring through its ESG initiatives, generating measurable operational efficiency gains that reduce methane emissions and operating costs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Western Midstream Q4/FY2025 Earnings — record EBITDA, $3.84B revenue, distribution increase, February 2026</w:t>
      </w:r>
    </w:p>
    <w:p>
      <w:pPr>
        <w:spacing w:before="20" w:after="20"/>
        <w:ind w:left="170"/>
      </w:pPr>
      <w:r>
        <w:rPr>
          <w:rFonts w:ascii="Calibri" w:hAnsi="Calibri"/>
          <w:b/>
          <w:color w:val="4A6B25"/>
          <w:sz w:val="15"/>
        </w:rPr>
        <w:t xml:space="preserve">2. </w:t>
      </w:r>
      <w:r>
        <w:rPr>
          <w:rFonts w:ascii="Calibri" w:hAnsi="Calibri"/>
          <w:b w:val="0"/>
          <w:color w:val="3A4A28"/>
          <w:sz w:val="17"/>
        </w:rPr>
        <w:t>24/7 Wall St. / Simply Wall St — WES distribution guidance $3.72, DCF coverage, throughput headwinds analysis, 2026</w:t>
      </w:r>
    </w:p>
    <w:p>
      <w:pPr>
        <w:spacing w:before="20" w:after="20"/>
        <w:ind w:left="170"/>
      </w:pPr>
      <w:r>
        <w:rPr>
          <w:rFonts w:ascii="Calibri" w:hAnsi="Calibri"/>
          <w:b/>
          <w:color w:val="4A6B25"/>
          <w:sz w:val="15"/>
        </w:rPr>
        <w:t xml:space="preserve">3. </w:t>
      </w:r>
      <w:r>
        <w:rPr>
          <w:rFonts w:ascii="Calibri" w:hAnsi="Calibri"/>
          <w:b w:val="0"/>
          <w:color w:val="3A4A28"/>
          <w:sz w:val="17"/>
        </w:rPr>
        <w:t>Western Midstream corporate website — Our Team, CEO Brown appointment October 2024; Simply Wall St — WES management analysis</w:t>
      </w:r>
    </w:p>
    <w:p>
      <w:pPr>
        <w:spacing w:before="20" w:after="20"/>
        <w:ind w:left="170"/>
      </w:pPr>
      <w:r>
        <w:rPr>
          <w:rFonts w:ascii="Calibri" w:hAnsi="Calibri"/>
          <w:b/>
          <w:color w:val="4A6B25"/>
          <w:sz w:val="15"/>
        </w:rPr>
        <w:t xml:space="preserve">4. </w:t>
      </w:r>
      <w:r>
        <w:rPr>
          <w:rFonts w:ascii="Calibri" w:hAnsi="Calibri"/>
          <w:b w:val="0"/>
          <w:color w:val="3A4A28"/>
          <w:sz w:val="17"/>
        </w:rPr>
        <w:t>Western Midstream Sustainability — ESG committee, methane reduction, compressor electrification, carbon capture pilots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WES,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