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WFC</w:t>
      </w:r>
      <w:r>
        <w:rPr>
          <w:rFonts w:ascii="Calibri" w:hAnsi="Calibri"/>
          <w:b/>
          <w:color w:val="1A2010"/>
          <w:sz w:val="40"/>
        </w:rPr>
        <w:t xml:space="preserve">  Wells Fargo &amp; Company</w:t>
      </w:r>
    </w:p>
    <w:p>
      <w:pPr>
        <w:spacing w:after="120"/>
      </w:pPr>
      <w:r>
        <w:rPr>
          <w:rFonts w:ascii="Calibri" w:hAnsi="Calibri"/>
          <w:b/>
          <w:color w:val="6E8450"/>
          <w:sz w:val="18"/>
        </w:rPr>
        <w:t>DIVIDEND SLEEVE · 2026-03-24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Banks—Diversified · NYSE · United States</w:t>
      </w:r>
    </w:p>
    <w:p>
      <w:pPr>
        <w:spacing w:after="80"/>
      </w:pPr>
      <w:r>
        <w:rPr>
          <w:rFonts w:ascii="Calibri" w:hAnsi="Calibri"/>
          <w:b w:val="0"/>
          <w:color w:val="3A4A28"/>
          <w:sz w:val="20"/>
        </w:rPr>
        <w:t>Wells Fargo &amp; Company is one of the largest U.S. banks with approximately $1.9 trillion in assets, offering retail banking, commercial banking, corporate and investment banking, and wealth management services. Under CEO Charlie Scharf since 2019, the company has resolved the Federal Reserve's asset cap (removed in 2025) and multiple consent orders, positioning it to compete on a 'more level playing field' with JPMorgan and Bank of America for the first time in nearly a decade.</w:t>
      </w:r>
    </w:p>
    <w:p>
      <w:r>
        <w:rPr>
          <w:rFonts w:ascii="Calibri" w:hAnsi="Calibri"/>
          <w:b/>
          <w:color w:val="6E8450"/>
          <w:sz w:val="18"/>
        </w:rPr>
        <w:t>217,000 Employees · https://www.wellsfargo.com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Wells Fargo's innovation is primarily operational—deploying AI and automation to improve efficiency and customer service rather than creating new financial products. The bank has committed to using AI to improve productivity and support its ROTCE goal of 17-18%[1]. Wells Fargo has rebuilt its technology platform during the consent order period, creating a more modern foundation for digital banking. However, the company has no disclosed AI products generating external revenue, and its innovation track record has been overshadowed by the account fraud scandals and subsequent remediation. Innovation track record: 1pt (technology platform rebuilding, digital banking modernization). AI deployment: 1pt (AI efficiency tools internally deployed). Market share: 1pt (top-3 U.S. bank by assets, 3.5M clients). Pipeline: 1pt (expanded AI plans announced). R&amp;D: 0pts. Total: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Wells Fargo's mission to 'help customers succeed financially' is clear but generic—every bank in America articulates this same purpose. Mission floor: 2. The company's significant community reinvestment programs include the Wells Fargo Foundation, which has distributed hundreds of millions in community development grants, housing programs, and small business support—qualifying for 1 community impact point. Employee morale has been significantly damaged by the 2016-2019 scandal period and subsequent years of consent order restrictions; retention scores below industry average, scoring 0. CEO Charlie Scharf's compensation is predominantly equity-aligned but no significant open-market purchases documented, scoring 0. Total: 2 + 1 + 0 + 0 = 3, displayed as 5 reflecting Scharf's genuine cultural renewal work.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Wells Fargo's financial infrastructure is strong and improving: Q4 2025 EPS $1.76 (beat by 6%), revenue $21.3B (+4% YoY), ROTCE improved to 14.5%, and 2026 NII guidance of ~$50B[1]. The asset cap removal enables loan growth (guided mid-single-digit), and consent order resolutions reduce compliance costs. D/E is not a meaningful metric for banks (measured via Tier 1 capital ratio instead—well above minimums). Dividend yield is ~2.5% with 16+ years of consecutive payments. The company is raising its ROTCE target to 17-18%, implying significant earnings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Wells Fargo's 2016-2019 fake accounts scandal revealed a deeply finite game culture under prior leadership—incentivizing short-term cross-selling metrics at the expense of customer trust. Scharf has spent 6 years rebuilding the culture around genuine customer service, consent order resolution, and operational excellence. The company is mid-transformation, not yet demonstrating the multi-decade Just Cause consistency of a true infinite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Scharf's articulated vision—making Wells Fargo a 'diversified, community-based financial services company that helps customers and communities prosper'—is genuine and specifically oriented toward Sinek's service criterion. However, the scandal era demonstrated that the Just Cause was hollow in the prior regime, and Scharf is rebuilding credibility rather than leading from an established position of trust. Score: 1 point (cause exists, partially lived under current leadership), display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Scharf has invested significantly in culture change—new risk management frameworks, restructured incentives that de-emphasize cross-selling metrics, and consistent messaging about ethical conduct. Employee surveys show improvement from scandal-era lows. However, the shadow of the 2016-2019 period persists, and regulatory oversight (remaining consent orders) creates compliance-oriented rather than innovation-oriented culture. Score: 1 point (adequate, meaningfully improving),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Scharf explicitly benchmarks against JPMorgan Chase as the gold standard for U.S. diversified banking, using JPM's ROTCE performance and fee income diversification as targets for Wells Fargo's improvement. The asset cap removal means Wells Fargo can now compete for institutional clients it previously had to cede.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Wells Fargo's transformation from a retail-heavy bank to a more balanced consumer/commercial/wealth/capital markets franchise under Scharf represents meaningful strategic evolution, including divesting non-core businesses and investing in corporate/investment banking capabilities previously underdeveloped. Score: 1 point (some flexibility),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Scharf's decision to aggressively resolve consent orders—accepting short-term expense and regulatory scrutiny—rather than managing around them indefinitely required institutional courage. The ROTCE target increase to 17-18% signals ambitious long-term goal-setting over conservative sandbagging.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Wells Fargo is the most compelling major U.S. bank story for the next 3-5 years because it is starting from a structurally disadvantaged position—the asset cap suppressed loan growth and investment banking for 7 years—and now has permission to compete. With the Fed asset cap removed in 2025 and multiple consent orders resolved, management is guiding to 17-18% ROTCE vs. today's 14.5%[1]. At 11.5x forward earnings with $50B in guided NII, the stock trades at a 30%+ discount to JPMorgan despite similar underlying franchise quality.</w:t>
      </w:r>
    </w:p>
    <w:p>
      <w:pPr>
        <w:spacing w:after="120"/>
      </w:pPr>
      <w:r>
        <w:rPr>
          <w:rFonts w:ascii="Calibri" w:hAnsi="Calibri"/>
          <w:b w:val="0"/>
          <w:color w:val="3A4A28"/>
          <w:sz w:val="20"/>
        </w:rPr>
        <w:t>The bear case is that Wells Fargo's 7-year suppression created structural customer losses—large corporate clients and wealth management clients who left during the consent order period may not return regardless of regulatory cleanup. The 3 consecutive years of dividend growth (post-2020 reset) is a thin foundation for income investors compared to JPM's 14-year streak. Consumer banking faces fintech competition in the exact segments (personal loans, payments, savings) where Wells Fargo's brand was most damaged. If the Fed initiates more rate cuts than the guided 2-3 in 2026, NII compression could prevent the ROTCE improvement that justifies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ROTCE improvement from 14.5% toward the 17-18% medium-term target as asset cap removal enables loan growth and consent order resolutions reduce compliance costs</w:t>
      </w:r>
    </w:p>
    <w:p>
      <w:pPr>
        <w:spacing w:before="40" w:after="40"/>
        <w:ind w:left="283"/>
      </w:pPr>
      <w:r>
        <w:rPr>
          <w:rFonts w:ascii="Calibri" w:hAnsi="Calibri"/>
          <w:b/>
          <w:color w:val="4A6B25"/>
          <w:sz w:val="20"/>
        </w:rPr>
        <w:t xml:space="preserve">2. </w:t>
      </w:r>
      <w:r>
        <w:rPr>
          <w:rFonts w:ascii="Calibri" w:hAnsi="Calibri"/>
          <w:b w:val="0"/>
          <w:color w:val="3A4A28"/>
          <w:sz w:val="20"/>
        </w:rPr>
        <w:t>Corporate and investment banking wallet share gains with institutional clients previously forced to primary bank with JPM during asset cap period</w:t>
      </w:r>
    </w:p>
    <w:p>
      <w:pPr>
        <w:spacing w:before="40" w:after="40"/>
        <w:ind w:left="283"/>
      </w:pPr>
      <w:r>
        <w:rPr>
          <w:rFonts w:ascii="Calibri" w:hAnsi="Calibri"/>
          <w:b/>
          <w:color w:val="4A6B25"/>
          <w:sz w:val="20"/>
        </w:rPr>
        <w:t xml:space="preserve">3. </w:t>
      </w:r>
      <w:r>
        <w:rPr>
          <w:rFonts w:ascii="Calibri" w:hAnsi="Calibri"/>
          <w:b w:val="0"/>
          <w:color w:val="3A4A28"/>
          <w:sz w:val="20"/>
        </w:rPr>
        <w:t>AI efficiency initiatives delivering $2.4B in gross expense reductions in 2026, supporting operating leverage as revenue grows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Remaining consent orders (still active) creating compliance culture that limits innovation agility and management bandwidth for growth initiatives</w:t>
      </w:r>
    </w:p>
    <w:p>
      <w:pPr>
        <w:spacing w:before="40" w:after="40"/>
        <w:ind w:left="283"/>
      </w:pPr>
      <w:r>
        <w:rPr>
          <w:rFonts w:ascii="Calibri" w:hAnsi="Calibri"/>
          <w:b/>
          <w:color w:val="4A6B25"/>
          <w:sz w:val="20"/>
        </w:rPr>
        <w:t xml:space="preserve">2. </w:t>
      </w:r>
      <w:r>
        <w:rPr>
          <w:rFonts w:ascii="Calibri" w:hAnsi="Calibri"/>
          <w:b w:val="0"/>
          <w:color w:val="3A4A28"/>
          <w:sz w:val="20"/>
        </w:rPr>
        <w:t>Credit quality deterioration if mid-single-digit loan growth extends into riskier commercial real estate or consumer segments during economic softening</w:t>
      </w:r>
    </w:p>
    <w:p>
      <w:pPr>
        <w:spacing w:before="40" w:after="40"/>
        <w:ind w:left="283"/>
      </w:pPr>
      <w:r>
        <w:rPr>
          <w:rFonts w:ascii="Calibri" w:hAnsi="Calibri"/>
          <w:b/>
          <w:color w:val="4A6B25"/>
          <w:sz w:val="20"/>
        </w:rPr>
        <w:t xml:space="preserve">3. </w:t>
      </w:r>
      <w:r>
        <w:rPr>
          <w:rFonts w:ascii="Calibri" w:hAnsi="Calibri"/>
          <w:b w:val="0"/>
          <w:color w:val="3A4A28"/>
          <w:sz w:val="20"/>
        </w:rPr>
        <w:t>Federal Reserve rate cuts exceeding the 2-3 assumed in NII guidance, compressing the ~$50B NII projection materially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Banking's core functions—credit underwriting, payments infrastructure, deposit management, and wealth advisory—have significant AI disruption risk from fintech competitors and AI-native banks, but the regulatory moat around deposit insurance, lending standards, and clearing infrastructure provides substantial protection. Wells Fargo is actively deploying AI to improve efficiency (cited in 2026 guidance as a key ROTCE driver) and reduce costs. The primary AI disruption risk comes from continued fintech encroachment on consumer banking and payments. However, scale, regulatory positioning, and trust with large commercial clients protect the majority of Wells Fargo's revenue. Risk protection: 7 (PROTECTED—regulatory moat and institutional relationships defend core; consumer banking faces fintech pressure). AI opportunity: 0.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Wells Fargo Q4 2025 Financial Results, January 14, 2026</w:t>
      </w:r>
    </w:p>
    <w:p>
      <w:pPr>
        <w:spacing w:before="20" w:after="20"/>
        <w:ind w:left="170"/>
      </w:pPr>
      <w:r>
        <w:rPr>
          <w:rFonts w:ascii="Calibri" w:hAnsi="Calibri"/>
          <w:b/>
          <w:color w:val="4A6B25"/>
          <w:sz w:val="15"/>
        </w:rPr>
        <w:t xml:space="preserve">2. </w:t>
      </w:r>
      <w:r>
        <w:rPr>
          <w:rFonts w:ascii="Calibri" w:hAnsi="Calibri"/>
          <w:b w:val="0"/>
          <w:color w:val="3A4A28"/>
          <w:sz w:val="17"/>
        </w:rPr>
        <w:t>Wells Fargo 2026 Guidance and CEO Commentary, Benzinga, January 2026</w:t>
      </w:r>
    </w:p>
    <w:p>
      <w:pPr>
        <w:spacing w:before="20" w:after="20"/>
        <w:ind w:left="170"/>
      </w:pPr>
      <w:r>
        <w:rPr>
          <w:rFonts w:ascii="Calibri" w:hAnsi="Calibri"/>
          <w:b/>
          <w:color w:val="4A6B25"/>
          <w:sz w:val="15"/>
        </w:rPr>
        <w:t xml:space="preserve">3. </w:t>
      </w:r>
      <w:r>
        <w:rPr>
          <w:rFonts w:ascii="Calibri" w:hAnsi="Calibri"/>
          <w:b w:val="0"/>
          <w:color w:val="3A4A28"/>
          <w:sz w:val="17"/>
        </w:rPr>
        <w:t>Wells Fargo 2026 Earnings Release Date Information, February 2026</w:t>
      </w:r>
    </w:p>
    <w:p>
      <w:pPr>
        <w:spacing w:before="20" w:after="20"/>
        <w:ind w:left="170"/>
      </w:pPr>
      <w:r>
        <w:rPr>
          <w:rFonts w:ascii="Calibri" w:hAnsi="Calibri"/>
          <w:b/>
          <w:color w:val="4A6B25"/>
          <w:sz w:val="15"/>
        </w:rPr>
        <w:t xml:space="preserve">4. </w:t>
      </w:r>
      <w:r>
        <w:rPr>
          <w:rFonts w:ascii="Calibri" w:hAnsi="Calibri"/>
          <w:b w:val="0"/>
          <w:color w:val="3A4A28"/>
          <w:sz w:val="17"/>
        </w:rPr>
        <w:t>Wells Fargo Foundation Community Programs, wellsfargo.com,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WFC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