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WFRD</w:t>
      </w:r>
      <w:r>
        <w:rPr>
          <w:rFonts w:ascii="Calibri" w:hAnsi="Calibri"/>
          <w:b/>
          <w:color w:val="1A2010"/>
          <w:sz w:val="40"/>
        </w:rPr>
        <w:t xml:space="preserve">  Weatherford International plc</w:t>
      </w:r>
    </w:p>
    <w:p>
      <w:pPr>
        <w:spacing w:after="120"/>
      </w:pPr>
      <w:r>
        <w:rPr>
          <w:rFonts w:ascii="Calibri" w:hAnsi="Calibri"/>
          <w:b/>
          <w:color w:val="6E8450"/>
          <w:sz w:val="18"/>
        </w:rPr>
        <w:t>GROWTH SLEEVE · 2026-04-29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Weatherford International plc is a global energy services company providing equipment and services for drilling, evaluation, completion, production, and intervention of oil, geothermal, and natural gas wells. Operating through Drilling and Evaluation, Well Construction and Completions, and Production and Intervention segments, the company serves operators worldwide with a portfolio spanning managed pressure drilling, directional drilling, artificial lift systems, and digital solutions.</w:t>
      </w:r>
    </w:p>
    <w:p>
      <w:r>
        <w:rPr>
          <w:rFonts w:ascii="Calibri" w:hAnsi="Calibri"/>
          <w:b/>
          <w:color w:val="6E8450"/>
          <w:sz w:val="18"/>
        </w:rPr>
        <w:t>16,700 Employees · https://www.weatherford.com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WFRD has demonstrated strong innovation under CEO Saligram's tenure. (1) Innovation Track Record: 2 pts — the company has successfully transformed from a bankruptcy-era legacy services provider into a technology-differentiated oilfield services company, launching the Industrial Intelligence digital portfolio at FWRD 2025 including advanced edge automation, digital twin technology, and AI-powered platforms; the Victus intelligent MPD system won a major multi-well Woodside contract for the Trion deepwater project [1][2]. (2) AI Deployment: 2 pts — Weatherford has deployed AI commercially through its partnership with DataRobot (since 2022) and AIQ for AI-driven operational systems, with the Industrial Intelligence platform shipping to customers and the TCS partnership driving AI-powered business transformation with measurable operational improvements [2][3]. (3) Market Share Leadership: 1 pt — Weatherford is the third-largest diversified oilfield services company globally behind SLB and Halliburton, with a meaningful position but not a category leader [4]. (4) Product Pipeline: 1 pt — the Industrial Intelligence platform, Victus MPD system, and geothermal services pipeline show next-generation products with some revenue visibility [2]. (5) R&amp;D Intensity: 1 pt — Weatherford invests meaningfully in technology development relative to peers, with dedicated digital transformation teams and AI partnerships above industry average for oilfield services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Quality Floor: 2 pts — Weatherford's stated mission to 'address the headwinds facing the industry, revolutionize the oilfield with digital technology, integrated solutions, and world-class talent' is clear about what the company does and how, but does not articulate a deeper purpose beyond operational excellence in oilfield services [5]. Community &amp; Charitable Impact: 0 pts — no specific evidence of distinctive charitable programs or community investment beyond standard corporate ESG reporting; the company participates in the UN Global Compact and targets Net-Zero by 2050 but these are industry-standard commitments [6]. Employee Retention &amp; Tenure: 1 pt — CEO Saligram has an 81% approval rating on Glassdoor, and the executive team rates in the top 50% for companies with 10,000+ employees on Comparably [7]. The company has 16,700 employees with leadership continuity since Saligram took over in 2020. Insider Buying: 1 pt — new CFO Anuj Dhruv joined in 2025 and COO Richard Ward in 2024, showing the company is attracting experienced talent, though specific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WFRD's financial profile has been dramatically transformed since emerging from Chapter 11 bankruptcy in December 2019. D/E of 92.7% is manageable for the sector with $1.63B debt offset by $1.01B cash, yielding net debt of ~$620M against a $7.9B market cap [4]. ROE of 30.8% significantly exceeds the 15% target, demonstrating strong capital efficiency. Q1 2026 delivered EPS of $1.49, crushing estimates by 39.3% with a 44.7% YoY earnings surge [1]. Revenue declined 3.4% YoY to $4.92B in 2025 (partially due to the Argentina pressure pumping divestiture), with 2026 guidance of $4.5-4.95B reflecting Iran conflict impacts [1]. Profit margin of 9.5% is moderate, and Forward P/E of 15.4 is attractive relative to growth. Free cash flow of $448M supports share buybacks and the new dividend program initiated in 2024.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Weatherford demonstrates meaningful infinite game characteristics under CEO Saligram's transformative leadership since 2020. The company emerged from bankruptcy and has been rebuilt with a focus on technology differentiation and long-term capability rather than short-term cost-cutting. However, the company's purpose remains tied to oilfield services excellence rather than a transcendent Just Cause, and the competitive language still focuses on market positioning rather than self-improvement. The 50+ year history provides longevity, but the 2019 bankruptcy reset much of the institutional memory.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Weatherford's mission to 'revolutionize the oilfield with digital technology' is clear but functions more as a strategic objective than a Just Cause. It describes what the company does, not a vision of a better future worth sacrificing for. The purpose is tied to competitive differentiation in oilfield services rather than an enduring cause that transcends the current business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CEO Saligram's 81% approval rating on Glassdoor and executive team ranking in the top 50% for large companies suggest adequate trust [7]. The leadership team has been relatively stable since 2020, with recent additions (CFO Dhruv in 2025, COO Ward in 2024) showing ability to attract talent. However, the company has 16,700 employees spread globally in field operations, and no exceptional evidence of high-trust culture or employee empowerment emerges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Weatherford's competitive language focuses on winning market share and outperforming SLB and Halliburton through technology differentiation. While this is a legitimate competitive strategy, the framing is about 'beating' rivals through superior technology rather than learning from them.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 pts — Weatherford's emergence from Chapter 11 bankruptcy in 2019 and subsequent transformation under Saligram represents a genuine business reinvention. The company shed $6.2B in debt, divested non-core businesses (including Argentina pressure pumping in 2025), and pivoted from a legacy services model to a technology-differentiated platform built around digital solutions, AI, and intelligent completion systems [1][4][6]. This was not incremental — it was a fundamental reinvention of the company's identity and competitive 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CEO Saligram's decision to invest aggressively in digital transformation and AI capabilities (Industrial Intelligence platform, DataRobot partnership, TCS collaboration) while competitors focused on traditional service delivery showed willingness to sacrifice near-term margins for long-term capability [2][3]. The divestiture of the Argentina pressure pumping business, walking away from revenue to simplify the portfolio, also demonstrates prioritizing strategic clarity over short-term revenue maximization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Weatherford is a transformed oilfield services company trading at an attractive 15.4x forward P/E with 30.8% ROE, strong free cash flow generation ($448M in 2025), and a differentiated AI-driven technology strategy. Q1 2026 EPS of $1.49 crushed estimates by 39.3%, and the company's Industrial Intelligence platform, Victus MPD system, and AIQ partnership position it to capture share as the industry digitalizes [1][2][3]. The post-bankruptcy balance sheet is clean ($620M net debt vs $7.9B market cap), the new dividend and buyback program signals capital return confidence, and the re-domiciling to the U.S. should attract additional institutional interest.</w:t>
      </w:r>
    </w:p>
    <w:p>
      <w:pPr>
        <w:spacing w:after="120"/>
      </w:pPr>
      <w:r>
        <w:rPr>
          <w:rFonts w:ascii="Calibri" w:hAnsi="Calibri"/>
          <w:b w:val="0"/>
          <w:color w:val="3A4A28"/>
          <w:sz w:val="20"/>
        </w:rPr>
        <w:t>The bear case centers on cyclical exposure and geopolitical risk. Revenue declined 3.4% YoY in 2025 and 2026 guidance of $4.5-4.95B reflects disruption from the Iran conflict impacting Middle East operations, a key growth region [1]. Oilfield services are inherently tied to E&amp;P spending cycles — a sustained oil price decline below $60/bbl would pressure customer budgets and Weatherford's pricing power. Profit margin at 9.5% remains below historical peaks, and the company is still third behind SLB and Halliburton in scale, limiting negotiating power with major operators. The dividend program is only 3 years old and could be cut if the cycle turns, as the 2019 bankruptcy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Iran conflict and recovery of Middle East activity in H2 2026, supporting management's $4.5-4.95B revenue guidance</w:t>
      </w:r>
    </w:p>
    <w:p>
      <w:pPr>
        <w:spacing w:before="40" w:after="40"/>
        <w:ind w:left="283"/>
      </w:pPr>
      <w:r>
        <w:rPr>
          <w:rFonts w:ascii="Calibri" w:hAnsi="Calibri"/>
          <w:b/>
          <w:color w:val="4A6B25"/>
          <w:sz w:val="20"/>
        </w:rPr>
        <w:t xml:space="preserve">2. </w:t>
      </w:r>
      <w:r>
        <w:rPr>
          <w:rFonts w:ascii="Calibri" w:hAnsi="Calibri"/>
          <w:b w:val="0"/>
          <w:color w:val="3A4A28"/>
          <w:sz w:val="20"/>
        </w:rPr>
        <w:t>Expanding adoption of Industrial Intelligence platform and AI-powered services driving margin expansion and competitive differentiation against SLB and Halliburton</w:t>
      </w:r>
    </w:p>
    <w:p>
      <w:pPr>
        <w:spacing w:before="40" w:after="40"/>
        <w:ind w:left="283"/>
      </w:pPr>
      <w:r>
        <w:rPr>
          <w:rFonts w:ascii="Calibri" w:hAnsi="Calibri"/>
          <w:b/>
          <w:color w:val="4A6B25"/>
          <w:sz w:val="20"/>
        </w:rPr>
        <w:t xml:space="preserve">3. </w:t>
      </w:r>
      <w:r>
        <w:rPr>
          <w:rFonts w:ascii="Calibri" w:hAnsi="Calibri"/>
          <w:b w:val="0"/>
          <w:color w:val="3A4A28"/>
          <w:sz w:val="20"/>
        </w:rPr>
        <w:t>U.S. re-domiciling improving institutional access and index inclusion potential, combined with continued free cash flow-funded share buybacks reducing the float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decline below $60/bbl reducing global E&amp;P spending and pressuring Weatherford's revenue and pricing across all three segments</w:t>
      </w:r>
    </w:p>
    <w:p>
      <w:pPr>
        <w:spacing w:before="40" w:after="40"/>
        <w:ind w:left="283"/>
      </w:pPr>
      <w:r>
        <w:rPr>
          <w:rFonts w:ascii="Calibri" w:hAnsi="Calibri"/>
          <w:b/>
          <w:color w:val="4A6B25"/>
          <w:sz w:val="20"/>
        </w:rPr>
        <w:t xml:space="preserve">2. </w:t>
      </w:r>
      <w:r>
        <w:rPr>
          <w:rFonts w:ascii="Calibri" w:hAnsi="Calibri"/>
          <w:b w:val="0"/>
          <w:color w:val="3A4A28"/>
          <w:sz w:val="20"/>
        </w:rPr>
        <w:t>Geopolitical escalation in the Middle East beyond the Iran conflict, disrupting operations in a region representing a significant portion of international revenue</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SLB and Halliburton in digital and AI capabilities — larger competitors could match Weatherford's technology investments with greater scale and R&amp;D budgets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 pts (PROTECTED) — Weatherford's core business involves physical-world oilfield services — drilling, completing, and maintaining wells — that require specialized equipment, trained field personnel, and on-site operations that AI cannot structurally displace [4]. The business involves complex physical environments (downhole, deepwater, harsh conditions) where human expertise and physical equipment are irreplaceable. Regulatory requirements, safety standards, and the bespoke nature of each well provide additional moats against AI substitution. No analysts have flagged AI disruption as a risk to oilfield services companies. AI Opportunity: 1 pt — Weatherford is actively generating revenue from AI-integrated products, including the Industrial Intelligence platform, AI-powered Victus MPD system (Woodside Trion contract), DataRobot AI analytics partnership, and AIQ collaboration for AI-driven operational systems [2][3]. CEO Saligram has positioned AI as central to Weatherford's competitive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Weatherford International Q1 2026 Earnings Release and 10-Q, April 23, 2026</w:t>
      </w:r>
    </w:p>
    <w:p>
      <w:pPr>
        <w:spacing w:before="20" w:after="20"/>
        <w:ind w:left="170"/>
      </w:pPr>
      <w:r>
        <w:rPr>
          <w:rFonts w:ascii="Calibri" w:hAnsi="Calibri"/>
          <w:b/>
          <w:color w:val="4A6B25"/>
          <w:sz w:val="15"/>
        </w:rPr>
        <w:t xml:space="preserve">2. </w:t>
      </w:r>
      <w:r>
        <w:rPr>
          <w:rFonts w:ascii="Calibri" w:hAnsi="Calibri"/>
          <w:b w:val="0"/>
          <w:color w:val="3A4A28"/>
          <w:sz w:val="17"/>
        </w:rPr>
        <w:t>Weatherford Industrial Intelligence Platform Launch, FWRD 2025 Technology Conference, October 2025</w:t>
      </w:r>
    </w:p>
    <w:p>
      <w:pPr>
        <w:spacing w:before="20" w:after="20"/>
        <w:ind w:left="170"/>
      </w:pPr>
      <w:r>
        <w:rPr>
          <w:rFonts w:ascii="Calibri" w:hAnsi="Calibri"/>
          <w:b/>
          <w:color w:val="4A6B25"/>
          <w:sz w:val="15"/>
        </w:rPr>
        <w:t xml:space="preserve">3. </w:t>
      </w:r>
      <w:r>
        <w:rPr>
          <w:rFonts w:ascii="Calibri" w:hAnsi="Calibri"/>
          <w:b w:val="0"/>
          <w:color w:val="3A4A28"/>
          <w:sz w:val="17"/>
        </w:rPr>
        <w:t>TCS-Weatherford AI Partnership Extension and DataRobot/AIQ Collaborations,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WFRD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Weatherford International corporate website — weatherford.com, mission and leadership,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Weatherford 2024 Sustainability Report and UN Global Compact Participation</w:t>
      </w:r>
    </w:p>
    <w:p>
      <w:pPr>
        <w:spacing w:before="20" w:after="20"/>
        <w:ind w:left="170"/>
      </w:pPr>
      <w:r>
        <w:rPr>
          <w:rFonts w:ascii="Calibri" w:hAnsi="Calibri"/>
          <w:b/>
          <w:color w:val="4A6B25"/>
          <w:sz w:val="15"/>
        </w:rPr>
        <w:t xml:space="preserve">7. </w:t>
      </w:r>
      <w:r>
        <w:rPr>
          <w:rFonts w:ascii="Calibri" w:hAnsi="Calibri"/>
          <w:b w:val="0"/>
          <w:color w:val="3A4A28"/>
          <w:sz w:val="17"/>
        </w:rPr>
        <w:t>Glassdoor and Comparably — Weatherford International employee reviews,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