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WHD</w:t>
      </w:r>
      <w:r>
        <w:rPr>
          <w:rFonts w:ascii="Calibri" w:hAnsi="Calibri"/>
          <w:b/>
          <w:color w:val="1A2010"/>
          <w:sz w:val="40"/>
        </w:rPr>
        <w:t xml:space="preserve">  Cactus, Inc.</w:t>
      </w:r>
    </w:p>
    <w:p>
      <w:pPr>
        <w:spacing w:after="120"/>
      </w:pPr>
      <w:r>
        <w:rPr>
          <w:rFonts w:ascii="Calibri" w:hAnsi="Calibri"/>
          <w:b/>
          <w:color w:val="6E8450"/>
          <w:sz w:val="18"/>
        </w:rPr>
        <w:t>GROWTH SLEEVE · 2026-05-05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Cactus designs, manufactures, sells, and rents engineered pressure control and spoolable pipe technologies for onshore unconventional oil and gas wells. The company operates through Pressure Control (wellheads under the Cactus Wellhead brand) and Spoolable Technologies (FlexSteel pipes for production and gathering pipelines) segments, serving customers in the U.S., Australia, Canada, and the Middle East.</w:t>
      </w:r>
    </w:p>
    <w:p>
      <w:r>
        <w:rPr>
          <w:rFonts w:ascii="Calibri" w:hAnsi="Calibri"/>
          <w:b/>
          <w:color w:val="6E8450"/>
          <w:sz w:val="18"/>
        </w:rPr>
        <w:t>1,500 Employees · https://www.cactuswhd.com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Cactus completed its transformative acquisition of 65% of Baker Hughes' Surface Pressure Control business on January 1, 2026, forming a joint venture that dramatically expands its market position and product portfolio [1]. This follows the successful FlexSteel spoolable pipe segment buildout. AI Deployment (1/2): The company has partnered with SLB on enhanced automation and control technology for drilling operations, though AI products are not yet generating standalone revenue [2]. Market Share (2/2): Cactus is a market leader in pressure control equipment for onshore unconventional wells in North America, with the Baker Hughes JV substantially expanding its global footprint and creating a dominant position [1]. Pipeline (1/2): The Baker Hughes JV provides a $16.6 billion backlog with significant revenue visibility into 2027, though specific next-gen product launches are not publicly detailed [1]. R&amp;D Intensity (0/1): R&amp;D spending data is limited; the company focuses on engineering excellence rather than traditional R&amp;D intensity metrics.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Cactus's website emphasizes 'designing, manufacturing, and delivering innovative pressure control and spoolable technologies' with a focus on safety and reliability — clear but not distinctive beyond industry norms [2]. Community Impact (1/2): The company publishes a sustainability report and maintains health/safety/environment programs, though specific charitable giving programs with dollar amounts are limited [3]. Employee Retention (1/2): Dawn Smith as VP of HR since 2018 suggests organizational stability; the company has grown from startup in 2011 to 1,500 employees with consistent leadership under founder/CEO Scott Bender [2]. Insider Buying (1/2): Founder Scott Bender maintains significant equity ownership as Chairman/CEO since founding in 2011, though recent net insider transaction data shows mixed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Cactus demonstrates exceptional financial fundamentals with minimal leverage (D/E 2.6%, $123.6M cash vs $37.7M debt), solid profitability (15.4% profit margin, 14.95% ROE near target), and an attractive forward P/E of 16.0x [4]. Revenue growth 5yr CAGR is approximately 12% driven by the FlexSteel segment buildout, easily exceeding the 10% target. Mechanically calculated: D/E 2.6% scores 1.0, ROE 14.95% scores 0.997, Rev YoY -4% scores 0.53, Rev 5yr CAGR 12% scores 1.0, Forward P/E 16.0 scores 1.0, Profit Margin 15.4% scores 0.77. PEG unavailable, excluded. Weighted sum 7.29/8 = 0.91 × 10 = 9. Liquidity floor cleared: 1.04M avg vol × $54.49 = $56.7M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Cactus under founder/CEO Scott Bender shows elements of infinite game thinking through its patient buildout from startup in 2011 to a $3.8B market cap company, culminating in the transformative Baker Hughes JV. The company's focus on engineering excellence and safety reflects a purpose beyond quarterly earnings, though it remains primarily a well-run industrial business without a transformative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Cactus articulates a purpose around designing and delivering innovative pressure control technologies with an emphasis on safety and reliability [2]. This is a clear operational mission but not a transformative just cause — it describes what the company does rather than envisioning a better future. The consistent execution from founding to Baker Hughes JV demonstrates strategic discipline but not a cause that transcends the business.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Scott Bender has led since 2011, providing leadership continuity. Dawn Smith's promotion from HR Director to VP suggests internal development pathways [2]. The company grew from startup to 1,500 employees without visible cultural disruption, and the sustainability report highlights employee safety culture. However, no extraordinary retention or empowerment evidence is available.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Baker Hughes JV demonstrates a competitive mindset oriented toward collaboration rather than destruction — partnering with a major competitor to create mutual value rather than competing head-to-head [1]. The SLB partnership on automation technology similarly shows willingness to learn from and collaborate with rivals.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Cactus evolved from a pure pressure control company to adding the FlexSteel spoolable pipe segment, then made the transformative leap to acquiring Baker Hughes' Surface Pressure Control business — expanding from a niche player to a global leader [1]. These are meaningful strategic evolutions, though incremental rather than business-model-defining pivots.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Baker Hughes JV acquisition required significant strategic conviction — taking on a major asset integration during a period of uncertain oil prices and capital market conditions [1]. The company also invested in FlexSteel technology when it was unproven. However, these are calculated bets within the existing industry rather than costly long-term sacrifices against short-term earnings.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Cactus is executing a transformative growth strategy through its January 2026 acquisition of 65% of Baker Hughes' Surface Pressure Control business, which provides a $16.6 billion backlog and is expected to drive 35.5% revenue growth in Q1 2026 [1]. The company's balance sheet is pristine (D/E 2.6%, $123.6M cash vs $37.7M debt) with strong operating cash flow of $258.4M, and the forward P/E of 16.0x is reasonable for a company entering a major growth phase [4]. Q4 2025 results beat estimates with revenue of $261M and adjusted EPS of $0.65 vs $0.58 expected, demonstrating operational execution [1]. The dual-segment model (Pressure Control + Spoolable Technologies) provides diversification within oilfield services.</w:t>
      </w:r>
    </w:p>
    <w:p>
      <w:pPr>
        <w:spacing w:after="120"/>
      </w:pPr>
      <w:r>
        <w:rPr>
          <w:rFonts w:ascii="Calibri" w:hAnsi="Calibri"/>
          <w:b w:val="0"/>
          <w:color w:val="3A4A28"/>
          <w:sz w:val="20"/>
        </w:rPr>
        <w:t>The bear case centers on oil price cyclicality and integration risk. Cactus's revenue is tied to U.S. onshore drilling activity, which remains sensitive to WTI crude prices — a sustained downturn below $60/bbl would compress both equipment sales and rental activity. The Baker Hughes JV integration introduces execution risk: managing a 65/35 joint venture with a major competitor requires navigating complex operational and cultural dynamics. Revenue declined 4% YoY in 2025 (pre-acquisition), and the company's free cash flow turned negative (-$194.7M) due to acquisition-related capital deployment [4]. The dividend yield of 1.0% offers minimal income support, and the stock trades near its 52-week high ($59.25), limiting near-term upside if integration hiccups emerge.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Baker Hughes Surface Pressure Control JV integration driving projected 35.5% revenue growth in Q1 2026 with $16.6B backlog visibility [1]</w:t>
      </w:r>
    </w:p>
    <w:p>
      <w:pPr>
        <w:spacing w:before="40" w:after="40"/>
        <w:ind w:left="283"/>
      </w:pPr>
      <w:r>
        <w:rPr>
          <w:rFonts w:ascii="Calibri" w:hAnsi="Calibri"/>
          <w:b/>
          <w:color w:val="4A6B25"/>
          <w:sz w:val="20"/>
        </w:rPr>
        <w:t xml:space="preserve">2. </w:t>
      </w:r>
      <w:r>
        <w:rPr>
          <w:rFonts w:ascii="Calibri" w:hAnsi="Calibri"/>
          <w:b w:val="0"/>
          <w:color w:val="3A4A28"/>
          <w:sz w:val="20"/>
        </w:rPr>
        <w:t>Management guidance that 2027 will exceed the midpoint between 2025 and 2026 financials, implying sustained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Expanding international presence through JV (Australia, Middle East, Canada) diversifying away from pure U.S. onshore exposure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cyclicality — revenue concentration in U.S. onshore unconventional drilling makes Cactus vulnerable to rig count declines if WTI falls below $60/bbl</w:t>
      </w:r>
    </w:p>
    <w:p>
      <w:pPr>
        <w:spacing w:before="40" w:after="40"/>
        <w:ind w:left="283"/>
      </w:pPr>
      <w:r>
        <w:rPr>
          <w:rFonts w:ascii="Calibri" w:hAnsi="Calibri"/>
          <w:b/>
          <w:color w:val="4A6B25"/>
          <w:sz w:val="20"/>
        </w:rPr>
        <w:t xml:space="preserve">2. </w:t>
      </w:r>
      <w:r>
        <w:rPr>
          <w:rFonts w:ascii="Calibri" w:hAnsi="Calibri"/>
          <w:b w:val="0"/>
          <w:color w:val="3A4A28"/>
          <w:sz w:val="20"/>
        </w:rPr>
        <w:t>Baker Hughes JV integration execution risk — managing a complex 65/35 joint venture with a major industry player requires cultural alignment and operational coordination [1]</w:t>
      </w:r>
    </w:p>
    <w:p>
      <w:pPr>
        <w:spacing w:before="40" w:after="40"/>
        <w:ind w:left="283"/>
      </w:pPr>
      <w:r>
        <w:rPr>
          <w:rFonts w:ascii="Calibri" w:hAnsi="Calibri"/>
          <w:b/>
          <w:color w:val="4A6B25"/>
          <w:sz w:val="20"/>
        </w:rPr>
        <w:t xml:space="preserve">3. </w:t>
      </w:r>
      <w:r>
        <w:rPr>
          <w:rFonts w:ascii="Calibri" w:hAnsi="Calibri"/>
          <w:b w:val="0"/>
          <w:color w:val="3A4A28"/>
          <w:sz w:val="20"/>
        </w:rPr>
        <w:t>Free cash flow turned negative (-$194.7M) in 2025 due to acquisition investment, creating near-term capital allocation constraints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Cactus operates in the physical-world domain of pressure control equipment manufacturing, wellhead installation, and spoolable pipe deployment for oil and gas wells [1]. AI cannot replace the physical manufacturing, field service, or equipment rental that constitutes Cactus's core business. The oilfield services sector is structurally immune to AI substitution — wells still require physical pressure control hardware regardless of AI advancement. AI may increase energy demand (powering data centers) which benefits upstream activity [2]. AI Opportunity (0/1): No meaningful AI-derived revenue; the SLB automation partnership is for operational efficiency rather than AI product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Cactus Inc. Q4 2025 Earnings Call Transcript and Results — $261M revenue, Baker Hughes JV closure January 2026, $16.6B backlog, February 2026</w:t>
      </w:r>
    </w:p>
    <w:p>
      <w:pPr>
        <w:spacing w:before="20" w:after="20"/>
        <w:ind w:left="170"/>
      </w:pPr>
      <w:r>
        <w:rPr>
          <w:rFonts w:ascii="Calibri" w:hAnsi="Calibri"/>
          <w:b/>
          <w:color w:val="4A6B25"/>
          <w:sz w:val="15"/>
        </w:rPr>
        <w:t xml:space="preserve">2. </w:t>
      </w:r>
      <w:r>
        <w:rPr>
          <w:rFonts w:ascii="Calibri" w:hAnsi="Calibri"/>
          <w:b w:val="0"/>
          <w:color w:val="3A4A28"/>
          <w:sz w:val="17"/>
        </w:rPr>
        <w:t>Cactus Wellhead corporate website — leadership team, mission, SLB automation partnership,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Cactus Inc. 2024 Sustainability Report — ESG framework, health/safety/environment programs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WHD (Cactus Inc.),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