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WHR</w:t>
      </w:r>
      <w:r>
        <w:rPr>
          <w:rFonts w:ascii="Calibri" w:hAnsi="Calibri"/>
          <w:b/>
          <w:color w:val="1A2010"/>
          <w:sz w:val="40"/>
        </w:rPr>
        <w:t xml:space="preserve">  Whirlpool Corporation</w:t>
      </w:r>
    </w:p>
    <w:p>
      <w:pPr>
        <w:spacing w:after="120"/>
      </w:pPr>
      <w:r>
        <w:rPr>
          <w:rFonts w:ascii="Calibri" w:hAnsi="Calibri"/>
          <w:b/>
          <w:color w:val="6E8450"/>
          <w:sz w:val="18"/>
        </w:rPr>
        <w:t>DIVIDEND SLEEVE · 2026-04-13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Furnishings, Fixtures &amp; Appliances · NYSE · United States</w:t>
      </w:r>
    </w:p>
    <w:p>
      <w:pPr>
        <w:spacing w:after="80"/>
      </w:pPr>
      <w:r>
        <w:rPr>
          <w:rFonts w:ascii="Calibri" w:hAnsi="Calibri"/>
          <w:b w:val="0"/>
          <w:color w:val="3A4A28"/>
          <w:sz w:val="20"/>
        </w:rPr>
        <w:t>Whirlpool Corporation is a global manufacturer and marketer of major home appliances, including refrigerators, laundry, dishwashers, cooking, and small domestic appliances under brands such as Whirlpool, KitchenAid, Maytag, JennAir, Amana, Brastemp, Consul, and Indesit. The company operates principally in North America, Latin America, and Asia following the divestiture of its European business.</w:t>
      </w:r>
    </w:p>
    <w:p>
      <w:r>
        <w:rPr>
          <w:rFonts w:ascii="Calibri" w:hAnsi="Calibri"/>
          <w:b/>
          <w:color w:val="6E8450"/>
          <w:sz w:val="18"/>
        </w:rPr>
        <w:t>44,000 Employees · https://www.whirlpoolcorp.com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2025 net sales fell 6.5% to $15.52B with ongoing EBIT declining to $729M from $887M, and ongoing EBIT margin compressed to 4.7% from 5.3% [1]. The company is structurally challenged by a weak housing market and intense Asian competition. AI Deployment (1/2): Whirlpool is in early piloting phases of generative AI, testing LLMs for customer service and the KitchenAid Smart Double Wall Oven uses AI-driven 'assisted cook cycles' [2]. The CIO has been deliberately cautious due to tight margins and governance concerns. Market Share (1/2): Whirlpool retains the #1 North American major appliance share but faces heavy pressure from LG, Samsung, and Chinese OEMs (Haier, Hisense). Pipeline (1/2): Recent product launches and structural cost takeout of $150M+ in 2026 are expected to expand ongoing EBIT margin toward 5.5-5.8% [1]. R&amp;D Intensity (0/1): R&amp;D spend is modest relative to peers in a low-margin industry where tech investment must be tightly controlled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Whirlpool's mission to 'improve life at home' is a credible product-grounded purpose with nearly 50 years of sustainability commitment dating to the 1970 Office of Environmental Control [3]. Net-zero operations by 2030 target and Sustainability Bond issuance demonstrate authentic stewardship. Community Impact (1/2): 44,000 employees globally, but 2025 layoffs and plant rationalizations have weakened the social trust narrative. Employee Retention (0/2): Glassdoor reviews describe extreme organizational dysfunction stemming from Jack Welch-style stack-ranking culture under the prior CEO, with Bitzer trying to reform but the damage 'everywhere' [2]. Insider Buying (1/2): Management has equity exposure but the dilutive March 2026 public offering that forced 2026 EPS guidance down from ~$7.00 to ~$6.00 was a material setback for shareholders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Whirlpool's financial profile reflects a struggling cyclical with elevated leverage. 2025 revenue of $15.52B fell 6.5% YoY and ongoing EBIT margin compressed to 4.7% [1]. The forward P/E around 10-11x looks optically cheap but reflects sustained EPS pressure: 2026 ongoing EPS guidance was cut to ~$6.00 after dilutive March 2026 equity offerings [1]. Debt-to-equity is extremely elevated (&gt;200%) reflecting the post-Indesit balance sheet, with the company expecting to pay down $400M of debt in 2026. Free cash flow guide of $400-$500M is acceptable but coverage of the ~$7.00 annualized dividend is tight after the share count expansion [1]. The 7%+ dividend yield signals market skepticism on sustainability. Liquidity floor easily cleared given large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Whirlpool exhibits mixed mindset traits: a long-term mission and authentic sustainability commitments are partially offset by a culture historically dominated by short-term performance metrics and 2025/2026 capital decisions (debt management, dilutive equity offerings) that prioritized survival over long-horizon investment.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'improve life at home' purpose and 50-year environmental track record give Whirlpool a credible just cause [3], reinforced by the 2030 net-zero operations target and ESG Councils for environmental and social initiatives.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persistently describe a Jack Welch-style stack-ranking residue under prior leadership that rewards individual performance over teamwork, producing 'extreme organizational dysfunction' [2]. CEO Marc Bitzer is actively trying to reform but reviewers say the damage is 'everywhere'.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Whirlpool acknowledges LG, Samsung, and Chinese OEMs (Haier, Hisense) as worthy rivals driving share pressure and innovation in smart appliances. The company's own response — product launches, structural cost takeout, and a focus on premium KitchenAid — suggests rivalry-driven 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European business divestiture (2024) and the strategic refocus on North America/Latin America/Asia were existential pivots away from declining geographies [1]. However, the heavy reliance on the US housing cycle leaves the company exposed to a single macro factor it cannot control.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March 2026 dilutive equity offerings to manage debt forced 2026 ongoing EPS guidance down from ~$7.00 to ~$6.00 [1] — a defensive move that suggests balance-sheet exigency rather than visionary capital allocation. CEO Bitzer's confidence in 2026 rests on a 'gradual recovery of the housing market,' an externally driven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Whirlpool is a deep-value, high-yield turnaround story tied directly to a US housing market recovery. The company holds the #1 North American major appliance share, a 71-year continuous dividend record, and an authentic 50-year environmental sustainability commitment culminating in a 2030 net-zero operations target [3]. Management projects 2026 ongoing EBIT margin expansion to 5.5-5.8% (from 4.7% in 2025) on $150M+ structural cost takeout, recent product launches, and reduced promotional intensity [1]. Free cash flow of $400-500M and $400M of planned debt paydown in 2026 should restore balance-sheet quality. The ~7% dividend yield offers compelling income if the housing recovery materializes and EBIT margin guidance is met.</w:t>
      </w:r>
    </w:p>
    <w:p>
      <w:pPr>
        <w:spacing w:after="120"/>
      </w:pPr>
      <w:r>
        <w:rPr>
          <w:rFonts w:ascii="Calibri" w:hAnsi="Calibri"/>
          <w:b w:val="0"/>
          <w:color w:val="3A4A28"/>
          <w:sz w:val="20"/>
        </w:rPr>
        <w:t>The bear case dominates near-term. 2025 revenue fell 6.5% to $15.52B and ongoing EBIT dropped 18% [1], confirming structural pressure beyond one-time issues. The March 2026 dilutive public offerings forced 2026 EPS guidance down from ~$7.00 to ~$6.00, a material shareholder-unfriendly move [1]. Debt-to-equity remains elevated at &gt;200%, the dividend payout ratio is stretched, and a cut cannot be ruled out if housing fails to recover. Glassdoor reviews continue to describe organizational dysfunction stemming from Jack Welch-style culture residue [2]. Competitive pressure from LG, Samsung, and Chinese OEMs (Haier, Hisense) on both price and AI-smart-appliance differentiation continues to compress margins. The CEO's 2026 confidence rests heavily on an externally driven 'gradual housing recovery' that has been forecast — and disappointed — multiple times.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Ongoing EBIT margin expansion to 5.5-5.8% in 2026 driven by $150M+ structural cost takeout, recent product launches, and reduced promotional intensity [1]</w:t>
      </w:r>
    </w:p>
    <w:p>
      <w:pPr>
        <w:spacing w:before="40" w:after="40"/>
        <w:ind w:left="283"/>
      </w:pPr>
      <w:r>
        <w:rPr>
          <w:rFonts w:ascii="Calibri" w:hAnsi="Calibri"/>
          <w:b/>
          <w:color w:val="4A6B25"/>
          <w:sz w:val="20"/>
        </w:rPr>
        <w:t xml:space="preserve">2. </w:t>
      </w:r>
      <w:r>
        <w:rPr>
          <w:rFonts w:ascii="Calibri" w:hAnsi="Calibri"/>
          <w:b w:val="0"/>
          <w:color w:val="3A4A28"/>
          <w:sz w:val="20"/>
        </w:rPr>
        <w:t>US housing market recovery supporting big-ticket appliance demand and pricing power</w:t>
      </w:r>
    </w:p>
    <w:p>
      <w:pPr>
        <w:spacing w:before="40" w:after="40"/>
        <w:ind w:left="283"/>
      </w:pPr>
      <w:r>
        <w:rPr>
          <w:rFonts w:ascii="Calibri" w:hAnsi="Calibri"/>
          <w:b/>
          <w:color w:val="4A6B25"/>
          <w:sz w:val="20"/>
        </w:rPr>
        <w:t xml:space="preserve">3. </w:t>
      </w:r>
      <w:r>
        <w:rPr>
          <w:rFonts w:ascii="Calibri" w:hAnsi="Calibri"/>
          <w:b w:val="0"/>
          <w:color w:val="3A4A28"/>
          <w:sz w:val="20"/>
        </w:rPr>
        <w:t>$400M of planned 2026 debt paydown and $400-500M free cash flow restoring balance-sheet flexibility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 the ~7% yield, stretched payout ratio, and dilutive March 2026 equity offerings (which cut 2026 EPS guidance from ~$7.00 to ~$6.00) signal market doubt [1]</w:t>
      </w:r>
    </w:p>
    <w:p>
      <w:pPr>
        <w:spacing w:before="40" w:after="40"/>
        <w:ind w:left="283"/>
      </w:pPr>
      <w:r>
        <w:rPr>
          <w:rFonts w:ascii="Calibri" w:hAnsi="Calibri"/>
          <w:b/>
          <w:color w:val="4A6B25"/>
          <w:sz w:val="20"/>
        </w:rPr>
        <w:t xml:space="preserve">2. </w:t>
      </w:r>
      <w:r>
        <w:rPr>
          <w:rFonts w:ascii="Calibri" w:hAnsi="Calibri"/>
          <w:b w:val="0"/>
          <w:color w:val="3A4A28"/>
          <w:sz w:val="20"/>
        </w:rPr>
        <w:t>Continued share loss and margin compression from LG, Samsung, and Chinese OEMs (Haier, Hisense) in both core appliances and smart/AI-enabled premium tier [2]</w:t>
      </w:r>
    </w:p>
    <w:p>
      <w:pPr>
        <w:spacing w:before="40" w:after="40"/>
        <w:ind w:left="283"/>
      </w:pPr>
      <w:r>
        <w:rPr>
          <w:rFonts w:ascii="Calibri" w:hAnsi="Calibri"/>
          <w:b/>
          <w:color w:val="4A6B25"/>
          <w:sz w:val="20"/>
        </w:rPr>
        <w:t xml:space="preserve">3. </w:t>
      </w:r>
      <w:r>
        <w:rPr>
          <w:rFonts w:ascii="Calibri" w:hAnsi="Calibri"/>
          <w:b w:val="0"/>
          <w:color w:val="3A4A28"/>
          <w:sz w:val="20"/>
        </w:rPr>
        <w:t>Cultural dysfunction documented in Glassdoor reviews — Jack Welch-style stack-ranking residue impedes execution despite CEO Bitzer's reform efforts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Major appliances are physical, durable goods that AI cannot directly disrupt; a refrigerator or washer must still be manufactured, shipped, and installed [2]. However, AI-enabled smart appliances from competitors (LG ThinQ, Samsung Bespoke AI) raise the table-stakes for differentiation, and Whirlpool's own AI deployment is described as still 'mostly in discovery and piloting' [2]. AI in supply chain optimization, demand forecasting, and customer service offers cost savings but is being adopted cautiously due to thin margins. AI Opportunity (1/1): KitchenAid Smart Double Wall Oven 'assisted cook cycles' and digital business models in A/R shared service centers show measured progress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Whirlpool Corporation Q4 2025 / Full-Year Results and 2026 Guidance press release, January 28, 2026; updated 2026 guidance following March 2026 public offerings</w:t>
      </w:r>
    </w:p>
    <w:p>
      <w:pPr>
        <w:spacing w:before="20" w:after="20"/>
        <w:ind w:left="170"/>
      </w:pPr>
      <w:r>
        <w:rPr>
          <w:rFonts w:ascii="Calibri" w:hAnsi="Calibri"/>
          <w:b/>
          <w:color w:val="4A6B25"/>
          <w:sz w:val="15"/>
        </w:rPr>
        <w:t xml:space="preserve">2. </w:t>
      </w:r>
      <w:r>
        <w:rPr>
          <w:rFonts w:ascii="Calibri" w:hAnsi="Calibri"/>
          <w:b w:val="0"/>
          <w:color w:val="3A4A28"/>
          <w:sz w:val="17"/>
        </w:rPr>
        <w:t>Fortune, CIO.com, Glassdoor reviews — Whirlpool AI strategy under CIO and culture/leadership commentary, 2024-2026</w:t>
      </w:r>
    </w:p>
    <w:p>
      <w:pPr>
        <w:spacing w:before="20" w:after="20"/>
        <w:ind w:left="170"/>
      </w:pPr>
      <w:r>
        <w:rPr>
          <w:rFonts w:ascii="Calibri" w:hAnsi="Calibri"/>
          <w:b/>
          <w:color w:val="4A6B25"/>
          <w:sz w:val="15"/>
        </w:rPr>
        <w:t xml:space="preserve">3. </w:t>
      </w:r>
      <w:r>
        <w:rPr>
          <w:rFonts w:ascii="Calibri" w:hAnsi="Calibri"/>
          <w:b w:val="0"/>
          <w:color w:val="3A4A28"/>
          <w:sz w:val="17"/>
        </w:rPr>
        <w:t>Whirlpool 2024 Sustainability Report and Investor ESG Overview — net-zero 2030 operations target, Sustainability Bond, ESG Councils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