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WIT</w:t>
      </w:r>
      <w:r>
        <w:rPr>
          <w:rFonts w:ascii="Calibri" w:hAnsi="Calibri"/>
          <w:b/>
          <w:color w:val="1A2010"/>
          <w:sz w:val="40"/>
        </w:rPr>
        <w:t xml:space="preserve">  Wipro Limited</w:t>
      </w:r>
    </w:p>
    <w:p>
      <w:pPr>
        <w:spacing w:after="120"/>
      </w:pPr>
      <w:r>
        <w:rPr>
          <w:rFonts w:ascii="Calibri" w:hAnsi="Calibri"/>
          <w:b/>
          <w:color w:val="6E8450"/>
          <w:sz w:val="18"/>
        </w:rPr>
        <w:t>DIVIDEND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India</w:t>
      </w:r>
    </w:p>
    <w:p>
      <w:pPr>
        <w:spacing w:after="80"/>
      </w:pPr>
      <w:r>
        <w:rPr>
          <w:rFonts w:ascii="Calibri" w:hAnsi="Calibri"/>
          <w:b w:val="0"/>
          <w:color w:val="3A4A28"/>
          <w:sz w:val="20"/>
        </w:rPr>
        <w:t>Wipro Limited is a global IT consulting and business process services company headquartered in Bengaluru, India. Operating through IT Services and IT Products segments, Wipro serves enterprises across banking, healthcare, manufacturing, and technology sectors with digital strategy, cloud infrastructure, AI-powered solutions, and systems integration services.</w:t>
      </w:r>
    </w:p>
    <w:p>
      <w:r>
        <w:rPr>
          <w:rFonts w:ascii="Calibri" w:hAnsi="Calibri"/>
          <w:b/>
          <w:color w:val="6E8450"/>
          <w:sz w:val="18"/>
        </w:rPr>
        <w:t>230,000 Employees · https://www.wipro.com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 has invested significantly in AI capabilities, with CEO Srini Pallia declaring at Davos 2026 that 'AI is driving a new IT services boom' and CTO forecasting agentic AI to drive autonomous enterprises by 2026 [1]. The company launched a new operating model combining advisory, AI, and enterprise transformation services in early 2026 [2]. However, Morningstar assigns Wipro a 'no moat' rating, noting the company lacks differentiated IP and competes primarily on labor cost arbitrage rather than genuine technological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 benefits from the legacy of founder Azim Premji, whose philanthropic foundation has donated over $21B to education and social causes, giving the company a unique inspirational heritage among IT services peers. CEO Srini Pallia has maintained Wipro's values-driven culture, and the company participates actively in the World Economic Forum [1]. However, with 230,000 employees in a commoditized IT services market, individual employee engagement and mission connection inevitably dilute at scale.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 maintains excellent financial discipline with a low D/E ratio of 22%, ROE of 15.2% at the target threshold, and a forward P/E of 14.5x representing reasonable valuation [4]. Profit margins of 14.6% are solid for the IT services sector, though below the 20% target. Revenue grew 5.5% YoY but the 5-year CAGR of ~4% reflects the industry's post-pandemic normalization. The high payout ratio of 86.9% limits reinvestment capacity but supports the 9.2% dividend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Wipro demonstrates mixed infinite-game qualities — the Premji family's long-term ownership orientation and philanthropic mission provide a genuine just cause, but the company's operational reality is one of quarterly deal-by-deal competition in a commoditized IT services market. The recent CEO transition and organizational restructuring suggest adaptive intent, but Wipro has consistently trailed TCS and Infosys, indicating difficulty playing to sustain rather than just survive.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Azim Premji Foundation's $21B+ commitment to education and Wipro's deep roots in Indian social development provide a more compelling just cause than most IT services competitors. The company's 'Spirit of Wipro' values framework has endured across leadership transitions, suggesting institutional commitment beyond profit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Wipro's 230,000-person workforce operates in a high-attrition industry where annual turnover rates typically range 15-20%. The company has invested in upskilling programs and AI training, but recent restructuring and the industry-wide anxiety about AI replacing IT services jobs create trust challenges among frontline employees.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 acknowledges TCS, Infosys, HCL Tech, and Accenture as worthy rivals and has historically studied their operating models. However, the company has consistently ranked third or fourth among Indian IT majors in growth and margins, suggesting it learns from rivals but struggles to close the gap.</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Wipro's launch of a new AI-powered operating model in 2026 combining advisory, AI, and transformation services shows willingness to evolve [2]. The company's pivot from pure labor arbitrage toward consulting-led engagements represents meaningful strategic flexibility, though execution has lagged peers.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Wipro has generally been a fast follower rather than a first mover in the IT services industry, with its AI strategy largely mirroring moves by TCS and Infosys. CEO Pallia's leadership since 2024 has been steady but not transformative, with the company making incremental rather than bold strategic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Wipro offers an attractive 9.2% dividend yield at a reasonable forward P/E of 14.5x with minimal debt (D/E 22%), making it a compelling income play in the IT services sector. CEO Pallia's AI-first strategy pivot and the company's new consulting-led operating model position Wipro to capture enterprise AI transformation spending, with the CTO projecting agentic AI will drive autonomous enterprises by 2026 [1][2]. Revenue growth has returned at 5.5% YoY, and the company's $10.7B revenue base provides scale advantages in competing for large enterprise deals.</w:t>
      </w:r>
    </w:p>
    <w:p>
      <w:pPr>
        <w:spacing w:after="120"/>
      </w:pPr>
      <w:r>
        <w:rPr>
          <w:rFonts w:ascii="Calibri" w:hAnsi="Calibri"/>
          <w:b w:val="0"/>
          <w:color w:val="3A4A28"/>
          <w:sz w:val="20"/>
        </w:rPr>
        <w:t>The bear case centers on AI disruption risk — Morningstar's 'no moat' rating and assessment that Wipro is 'vulnerable to AI's potential disruption' reflect the existential threat that AI code generation, automated testing, and enterprise AI agents could structurally reduce demand for traditional IT services labor [3]. The 86.9% payout ratio leaves minimal margin for error or reinvestment, earnings declined 7.2% YoY, and revenue CAGR of just 4% over three years significantly lags industry leaders TCS and Infosys. The ADR stock price of $2.09 reflects the market's skepticism about Wipro's ability to navigate the AI transition while maintaining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AI consulting practice and enterprise transformation deals, with Wipro targeting 20%+ of new deal revenue from AI-powered services by FY2027 [2]</w:t>
      </w:r>
    </w:p>
    <w:p>
      <w:pPr>
        <w:spacing w:before="40" w:after="40"/>
        <w:ind w:left="283"/>
      </w:pPr>
      <w:r>
        <w:rPr>
          <w:rFonts w:ascii="Calibri" w:hAnsi="Calibri"/>
          <w:b/>
          <w:color w:val="4A6B25"/>
          <w:sz w:val="20"/>
        </w:rPr>
        <w:t xml:space="preserve">2. </w:t>
      </w:r>
      <w:r>
        <w:rPr>
          <w:rFonts w:ascii="Calibri" w:hAnsi="Calibri"/>
          <w:b w:val="0"/>
          <w:color w:val="3A4A28"/>
          <w:sz w:val="20"/>
        </w:rPr>
        <w:t>IT services spending recovery driven by enterprise AI adoption — Wipro CEO notes AI is 'driving a new IT services boom' at Davos 2026 [1]</w:t>
      </w:r>
    </w:p>
    <w:p>
      <w:pPr>
        <w:spacing w:before="40" w:after="40"/>
        <w:ind w:left="283"/>
      </w:pPr>
      <w:r>
        <w:rPr>
          <w:rFonts w:ascii="Calibri" w:hAnsi="Calibri"/>
          <w:b/>
          <w:color w:val="4A6B25"/>
          <w:sz w:val="20"/>
        </w:rPr>
        <w:t xml:space="preserve">3. </w:t>
      </w:r>
      <w:r>
        <w:rPr>
          <w:rFonts w:ascii="Calibri" w:hAnsi="Calibri"/>
          <w:b w:val="0"/>
          <w:color w:val="3A4A28"/>
          <w:sz w:val="20"/>
        </w:rPr>
        <w:t>Potential margin expansion from automation of delivery processes, reducing headcount dependency while maintaining revenue per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structural disruption to the IT services labor model — generative AI could reduce demand for 30-40% of traditional IT services tasks within 3-5 years, directly threatening Wipro's 230,000-person workforce model [3]</w:t>
      </w:r>
    </w:p>
    <w:p>
      <w:pPr>
        <w:spacing w:before="40" w:after="40"/>
        <w:ind w:left="283"/>
      </w:pPr>
      <w:r>
        <w:rPr>
          <w:rFonts w:ascii="Calibri" w:hAnsi="Calibri"/>
          <w:b/>
          <w:color w:val="4A6B25"/>
          <w:sz w:val="20"/>
        </w:rPr>
        <w:t xml:space="preserve">2. </w:t>
      </w:r>
      <w:r>
        <w:rPr>
          <w:rFonts w:ascii="Calibri" w:hAnsi="Calibri"/>
          <w:b w:val="0"/>
          <w:color w:val="3A4A28"/>
          <w:sz w:val="20"/>
        </w:rPr>
        <w:t>High payout ratio of 86.9% leaves no buffer if earnings deteriorate, creating dividend cut risk that would remove the stock's primary investment thesis</w:t>
      </w:r>
    </w:p>
    <w:p>
      <w:pPr>
        <w:spacing w:before="40" w:after="40"/>
        <w:ind w:left="283"/>
      </w:pPr>
      <w:r>
        <w:rPr>
          <w:rFonts w:ascii="Calibri" w:hAnsi="Calibri"/>
          <w:b/>
          <w:color w:val="4A6B25"/>
          <w:sz w:val="20"/>
        </w:rPr>
        <w:t xml:space="preserve">3. </w:t>
      </w:r>
      <w:r>
        <w:rPr>
          <w:rFonts w:ascii="Calibri" w:hAnsi="Calibri"/>
          <w:b w:val="0"/>
          <w:color w:val="3A4A28"/>
          <w:sz w:val="20"/>
        </w:rPr>
        <w:t>Persistent underperformance versus TCS and Infosys in growth, margins, and deal wins could lead to market share erosion in a consolidating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Morningstar explicitly rates Wipro as 'vulnerable to AI's potential disruption,' noting that AI-powered code generation and automated testing could reduce demand for the labor-intensive IT services that constitute Wipro's core business [3]. While the company is building AI consulting capabilities and launching AI-powered service models, the fundamental threat is that AI enables enterprises to accomplish more with fewer IT services workers. Wipro's 230,000-person workforce is its greatest asset and its greatest AI liability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BusinessToday — 'Davos 2026: Wipro CEO Srini Pallia says AI is driving a new IT services boom', January 2026</w:t>
      </w:r>
    </w:p>
    <w:p>
      <w:pPr>
        <w:spacing w:before="20" w:after="20"/>
        <w:ind w:left="170"/>
      </w:pPr>
      <w:r>
        <w:rPr>
          <w:rFonts w:ascii="Calibri" w:hAnsi="Calibri"/>
          <w:b/>
          <w:color w:val="4A6B25"/>
          <w:sz w:val="15"/>
        </w:rPr>
        <w:t xml:space="preserve">2. </w:t>
      </w:r>
      <w:r>
        <w:rPr>
          <w:rFonts w:ascii="Calibri" w:hAnsi="Calibri"/>
          <w:b w:val="0"/>
          <w:color w:val="3A4A28"/>
          <w:sz w:val="17"/>
        </w:rPr>
        <w:t>Wipro Press Release — 'Wipro Launches a New Operating Model for Enterprise Functions', 2026</w:t>
      </w:r>
    </w:p>
    <w:p>
      <w:pPr>
        <w:spacing w:before="20" w:after="20"/>
        <w:ind w:left="170"/>
      </w:pPr>
      <w:r>
        <w:rPr>
          <w:rFonts w:ascii="Calibri" w:hAnsi="Calibri"/>
          <w:b/>
          <w:color w:val="4A6B25"/>
          <w:sz w:val="15"/>
        </w:rPr>
        <w:t xml:space="preserve">3. </w:t>
      </w:r>
      <w:r>
        <w:rPr>
          <w:rFonts w:ascii="Calibri" w:hAnsi="Calibri"/>
          <w:b w:val="0"/>
          <w:color w:val="3A4A28"/>
          <w:sz w:val="17"/>
        </w:rPr>
        <w:t>Morningstar — 'No-Moat Wipro Is Vulnerable to AI's Potential Disruption',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WIT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