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WLK</w:t>
      </w:r>
      <w:r>
        <w:rPr>
          <w:rFonts w:ascii="Calibri" w:hAnsi="Calibri"/>
          <w:b/>
          <w:color w:val="1A2010"/>
          <w:sz w:val="40"/>
        </w:rPr>
        <w:t xml:space="preserve">  Westlake Corporation</w:t>
      </w:r>
    </w:p>
    <w:p>
      <w:pPr>
        <w:spacing w:after="120"/>
      </w:pPr>
      <w:r>
        <w:rPr>
          <w:rFonts w:ascii="Calibri" w:hAnsi="Calibri"/>
          <w:b/>
          <w:color w:val="6E8450"/>
          <w:sz w:val="18"/>
        </w:rPr>
        <w:t>GROWTH SLEEVE · 2026-04-28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Westlake Corporation manufactures and markets performance and essential materials, and housing and infrastructure products globally. Operating through two segments — Performance and Essential Materials (PEM) and Housing and Infrastructure Products (HIP) — the company produces ethylene, polyethylene, PVC, chlor-alkali products, and epoxy resins, alongside residential siding, trim, pipes, fittings, and roofing products. Founded in 1986 and headquartered in Houston, Texas.</w:t>
      </w:r>
    </w:p>
    <w:p>
      <w:r>
        <w:rPr>
          <w:rFonts w:ascii="Calibri" w:hAnsi="Calibri"/>
          <w:b/>
          <w:color w:val="6E8450"/>
          <w:sz w:val="18"/>
        </w:rPr>
        <w:t>14,600 Employees · https://www.westlake.com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Westlake's most significant strategic move in the past five years was the 2022 name change from Westlake Chemical Corporation to Westlake Corporation, reflecting the evolution from a pure chemical company to a vertically integrated materials and housing products company [1]. The January 2026 acquisition of ACI expanded the Housing and Infrastructure Products segment. However, these are incremental expansions rather than transformative pivots — the core PVC/polyethylene/chlor-alkali business remains largely unchanged. AI Deployment (0/2): No evidence of AI-powered products shipping to customers or quantified internal AI-driven cost savings. Westlake operates traditional chemical manufacturing and building products distribution, with no publicized AI strategy or deployment [2]. Market Share (1/2): Westlake is a significant player in North American PVC and polyethylene production, with vertically integrated operations from ethylene feedstock to finished building products providing competitive advantages. The company is one of the largest PVC producers in the Americas. However, it competes against larger diversified chemical companies like Dow and LyondellBasell. Product Pipeline (1/2): The PEM profitability improvement plan targeting $600M in EBITDA improvement provides near-term operational visibility, and the ACI acquisition gives growth runway in housing products [1]. However, the chemical business lacks next-generation product innovation with specific launch timelines. R&amp;D Intensity (1/1): Westlake invests in process optimization and new applications for PVC and polyethylene products, with R&amp;D spending at or near industry average for specialty chemicals.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Westlake's stated purpose centers on providing essential materials and building products that improve lives and communities. While the company connects its PVC pipes, siding, and chemical products to housing and infrastructure needs, the mission is generic and interchangeable with any building materials company — it does not articulate a distinctive vision beyond serving customers and generating returns. Community Impact (1/2): Westlake has published six annual ESG reports with GRI/SASB frameworks and set a 20% carbon intensity reduction target by 2030 (achieving 18% by end of 2022) [3]. Five new ESG goals for water, health &amp; safety, community engagement, diversity &amp; inclusion, and circular economy demonstrate some commitment. However, specific charitable giving amounts or distinctive community programs were not found. Employee Retention (1/2): The company describes a culture that prides itself on diversity and inclusion, and the leadership transition from founder-family leadership (Albert and James Chao) to professional CEO Jean-Marc Gilson was orderly, with the Chao family retaining executive chairman and senior chairman roles [2]. With 14,600 employees and stable operations, the company appears organizationally stable, though specific retention metrics are not available. Insider Buying (1/2): The Chao family maintains significant ownership through TTWF LP (Westlake is a subsidiary), aligning family interests with the company's long-term success. CEO Gilson was appointed July 2024, bringing 25 years of chemical industry experience from Mitsubishi Chemical Group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Westlake's financial profile reflects a cyclical chemicals company in a trough year, with the PEM segment pressured by weak global industrial activity. D/E of 69.0% is just below the 70% target, reflecting disciplined balance sheet management for a capital-intensive manufacturer [4]. However, ROE of -14.5% and profit margin of -13.5% reflect the significant $1.39B write-down and plant shutdowns taken in Q4 2025 as part of the PEM profitability improvement plan [1]. Revenue of $11.17B declined 10.9% YoY from 2024, though the 5-year CAGR of approximately 7% shows reasonable long-term growth. Forward P/E of 26.6x and PEG of 1.7x reflect analyst expectations of earnings recovery as the $600M EBITDA improvement plan takes effect [1]. The ACI acquisition in January 2026 should provide HIP segment revenue growth. Liquidity floor cleared: 1.3M avg volume × $111.19 = ~$144.9M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Westlake demonstrates meaningful infinite game characteristics as a 40-year-old family-founded company with the Chao family maintaining control through TTWF LP. The multi-generational family involvement — founder T.T. Chao's sons Albert and James in executive chairman and senior chairman roles, with professional CEO Gilson managing day-to-day operations — reflects a stewardship model oriented toward long-term value creation rather than quarterly optimization. The willingness to take a $1.39B write-down to restructure PEM operations shows commitment to long-term competitiveness over short-term earnings appearance.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Westlake's purpose centers on providing essential materials that enable housing and infrastructure development. While this connects the company to societal need — people need homes, and homes need PVC pipes, siding, and building materials — it is a business description rather than a Just Cause in Sinek's sense [2]. The company does not articulate a vision of a better future state; it provides commodity chemicals and building products. The Chao family's multi-generational stewardship provides some continuity of purpose, but the purpose itself is commercial rather than inspirational.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Westlake's culture emphasizes diversity and inclusion, with the company describing a collaborative environment where everyone can make a difference [2]. The orderly leadership transition — Chao family members stepping into board roles while bringing in professional CEO Gilson — suggests organizational maturity. With 14,600 employees and stable operations spanning multiple countries, the organization maintains operational continuity. However, the plant shutdowns and restructuring in Q4 2025 likely created workforce uncertainty, and no specific data on employee retention, tenure, or cultural satisfaction is publicly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Westlake competes against Dow, LyondellBasell, Shintech, and Formosa Plastics in chemicals, and against a fragmented field of building products companies, without aggressive competitive rhetoric. CEO Gilson's hiring from Mitsubishi Chemical Group — a major competitor — reflects openness to learning from rivals' approaches [2]. The company's competitive language focuses on operational excellence, vertical integration, and cost leadership rather than market domination or rival destruction.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Westlake has evolved meaningfully from its founding as a pure chemical company to a vertically integrated materials and housing products company, culminating in the 2022 name change from Westlake Chemical to Westlake Corporation [1]. The expansion into housing and infrastructure products through acquisitions (Boral Industries, now ACI) diversified the business model from cyclical commodity chemicals into more stable building products. The Q4 2025 PEM restructuring and plant closures show willingness to rationalize legacy operations. However, the core business remains chemicals and PVC — the evolution has been incremental rather than transformative.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Westlake demonstrated meaningful courage by taking a $1.39B charge and shutting plants in Q4 2025 as part of the PEM profitability improvement plan targeting $600M in EBITDA improvement [1]. This was a painful near-term decision — reporting a $544M net loss in the quarter — in service of long-term competitiveness. The acquisition of ACI in January 2026 during a cyclical downturn also shows willingness to invest when others may retrench. CEO Gilson was hired from Mitsubishi Chemical Group to professionalize management, reflecting strategic foresight by the Chao family in bringing external expertise [2].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Westlake Corporation is a vertically integrated chemicals and building products company trading at a cyclical trough following a $1.39B Q4 2025 restructuring charge, with clear catalysts for earnings recovery [1]. The PEM profitability improvement plan targets $600M in annual EBITDA improvement through plant rationalizations and cost reductions, while the January 2026 ACI acquisition expands the higher-margin HIP segment [1]. D/E of 69% demonstrates conservative balance sheet management for a capital-intensive manufacturer, and the Chao family's controlling ownership through TTWF LP aligns long-term interests [4]. Forward P/E of 26.6x and PEG of 1.7x price in meaningful earnings recovery, and if the $600M EBITDA improvement materializes, forward earnings could justify current valuations. The company's vertically integrated ethylene-to-PVC-to-building-products chain provides structural cost advantages in North American housing and infrastructure markets.</w:t>
      </w:r>
    </w:p>
    <w:p>
      <w:pPr>
        <w:spacing w:after="120"/>
      </w:pPr>
      <w:r>
        <w:rPr>
          <w:rFonts w:ascii="Calibri" w:hAnsi="Calibri"/>
          <w:b w:val="0"/>
          <w:color w:val="3A4A28"/>
          <w:sz w:val="20"/>
        </w:rPr>
        <w:t>The bear case centers on cyclical risk, negative current profitability, and execution uncertainty. Trailing ROE of -14.5% and profit margin of -13.5% reflect severe current earnings weakness, not just the one-time restructuring charge — management explicitly stated that 2026 macroeconomic conditions are 'not expected to be a tailwind' with global industrial activity remaining challenging [1][4]. Revenue declined 10.9% YoY to $11.17B, continuing a multi-year decline from the 2022 peak of $15.79B [4]. The $600M EBITDA improvement target is ambitious and depends on successful execution of plant closures and cost reductions that have not yet been demonstrated. PVC and polyethylene prices remain cyclically depressed, and any trade war escalation could disrupt the global chemical supply chain. The dividend yield of 1.9% with a 69.4% payout ratio appears stretched given current negative earnings — while forward estimates assume profitability recovery, any delay could pressure the dividend. As a subsidiary of family-controlled TTWF LP, minority shareholders have limited governance influence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PEM profitability improvement plan targeting $600M in annual EBITDA improvement through plant rationalizations, asset write-downs, and cost restructuring, with 2026 as the execution year [1]</w:t>
      </w:r>
    </w:p>
    <w:p>
      <w:pPr>
        <w:spacing w:before="40" w:after="40"/>
        <w:ind w:left="283"/>
      </w:pPr>
      <w:r>
        <w:rPr>
          <w:rFonts w:ascii="Calibri" w:hAnsi="Calibri"/>
          <w:b/>
          <w:color w:val="4A6B25"/>
          <w:sz w:val="20"/>
        </w:rPr>
        <w:t xml:space="preserve">2. </w:t>
      </w:r>
      <w:r>
        <w:rPr>
          <w:rFonts w:ascii="Calibri" w:hAnsi="Calibri"/>
          <w:b w:val="0"/>
          <w:color w:val="3A4A28"/>
          <w:sz w:val="20"/>
        </w:rPr>
        <w:t>January 2026 ACI acquisition expanding the higher-margin Housing and Infrastructure Products segment, expected to benefit from stable U.S. housing repair and remodeling demand [1]</w:t>
      </w:r>
    </w:p>
    <w:p>
      <w:pPr>
        <w:spacing w:before="40" w:after="40"/>
        <w:ind w:left="283"/>
      </w:pPr>
      <w:r>
        <w:rPr>
          <w:rFonts w:ascii="Calibri" w:hAnsi="Calibri"/>
          <w:b/>
          <w:color w:val="4A6B25"/>
          <w:sz w:val="20"/>
        </w:rPr>
        <w:t xml:space="preserve">3. </w:t>
      </w:r>
      <w:r>
        <w:rPr>
          <w:rFonts w:ascii="Calibri" w:hAnsi="Calibri"/>
          <w:b w:val="0"/>
          <w:color w:val="3A4A28"/>
          <w:sz w:val="20"/>
        </w:rPr>
        <w:t>Cyclical recovery in polyethylene and PVC pricing — the chemical industry is at a trough, and any improvement in global industrial activity or housing starts would provide operating leverage on Westlake's fixed cost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$600M EBITDA improvement plan — plant closures and cost restructuring are complex, and management acknowledged that macroeconomic conditions will not be supportive in 2026 [1]</w:t>
      </w:r>
    </w:p>
    <w:p>
      <w:pPr>
        <w:spacing w:before="40" w:after="40"/>
        <w:ind w:left="283"/>
      </w:pPr>
      <w:r>
        <w:rPr>
          <w:rFonts w:ascii="Calibri" w:hAnsi="Calibri"/>
          <w:b/>
          <w:color w:val="4A6B25"/>
          <w:sz w:val="20"/>
        </w:rPr>
        <w:t xml:space="preserve">2. </w:t>
      </w:r>
      <w:r>
        <w:rPr>
          <w:rFonts w:ascii="Calibri" w:hAnsi="Calibri"/>
          <w:b w:val="0"/>
          <w:color w:val="3A4A28"/>
          <w:sz w:val="20"/>
        </w:rPr>
        <w:t>Prolonged cyclical downturn — revenue has declined from $15.79B peak (2022) to $11.17B (2025), and PVC/polyethylene overcapacity from global competitors (especially China) could prevent pricing recovery for multiple years [4]</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risk — 69.4% payout ratio on currently negative earnings creates vulnerability if the earnings recovery materializes slower than forward estimates imply; limited minority shareholder governance given TTWF LP family control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Westlake's core business — manufacturing ethylene, polyethylene, PVC, chlor-alkali chemicals, and building products — is fundamentally physical-world chemical manufacturing and construction materials that AI cannot substitute [2]. Chemical plants require massive capital investment, complex process engineering, regulatory permits, and physical feedstock logistics. PVC pipes, siding, and roofing products are physical goods installed in buildings. AI may incrementally improve process optimization, predictive maintenance, and supply chain management, but cannot replace the physical production or distribution of chemicals and building materials. The housing and infrastructure products segment benefits from construction demand that is structurally AI-immune — buildings still need PVC pipes, vinyl siding, and roofing tiles regardless of AI adoption. AI data center construction may actually increase demand for PVC conduit and building materials. AI Opportunity (0/1): No evidence that Westlake generates revenue from AI-related products or services. The company's value proposition is based on chemical manufacturing scale, vertical integration, and low-cost feedstock access, not artificial intelligence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Westlake Corporation Q4 and FY2025 earnings release — $2.5B Q4 revenue, $544M net loss, $1.39B restructuring charge, $600M EBITDA improvement target, ACI acquisition January 2026; Westlake investor relations, StockTitan, February 2026</w:t>
      </w:r>
    </w:p>
    <w:p>
      <w:pPr>
        <w:spacing w:before="20" w:after="20"/>
        <w:ind w:left="170"/>
      </w:pPr>
      <w:r>
        <w:rPr>
          <w:rFonts w:ascii="Calibri" w:hAnsi="Calibri"/>
          <w:b/>
          <w:color w:val="4A6B25"/>
          <w:sz w:val="15"/>
        </w:rPr>
        <w:t xml:space="preserve">2. </w:t>
      </w:r>
      <w:r>
        <w:rPr>
          <w:rFonts w:ascii="Calibri" w:hAnsi="Calibri"/>
          <w:b w:val="0"/>
          <w:color w:val="3A4A28"/>
          <w:sz w:val="17"/>
        </w:rPr>
        <w:t>Westlake Corporation leadership and culture — CEO Jean-Marc Gilson (appointed July 2024, ex-Mitsubishi Chemical Group), Chao family executive chairman/senior chairman, diversity and inclusion culture; Westlake.com, Craft.co, LinkedIn, 2024-2026</w:t>
      </w:r>
    </w:p>
    <w:p>
      <w:pPr>
        <w:spacing w:before="20" w:after="20"/>
        <w:ind w:left="170"/>
      </w:pPr>
      <w:r>
        <w:rPr>
          <w:rFonts w:ascii="Calibri" w:hAnsi="Calibri"/>
          <w:b/>
          <w:color w:val="4A6B25"/>
          <w:sz w:val="15"/>
        </w:rPr>
        <w:t xml:space="preserve">3. </w:t>
      </w:r>
      <w:r>
        <w:rPr>
          <w:rFonts w:ascii="Calibri" w:hAnsi="Calibri"/>
          <w:b w:val="0"/>
          <w:color w:val="3A4A28"/>
          <w:sz w:val="17"/>
        </w:rPr>
        <w:t>Westlake Corporation ESG reporting — sixth annual ESG report, 18% carbon intensity reduction achieved vs. 20% target by 2030, GRI/SASB/TCFD frameworks, five new ESG goals; Westlake.com, BusinessWire, CSRHub,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WLK (Westlake Corporation),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