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WLTH</w:t>
      </w:r>
      <w:r>
        <w:rPr>
          <w:rFonts w:ascii="Calibri" w:hAnsi="Calibri"/>
          <w:b/>
          <w:color w:val="1A2010"/>
          <w:sz w:val="40"/>
        </w:rPr>
        <w:t xml:space="preserve">  Wealthfront Corporation</w:t>
      </w:r>
    </w:p>
    <w:p>
      <w:pPr>
        <w:spacing w:after="120"/>
      </w:pPr>
      <w:r>
        <w:rPr>
          <w:rFonts w:ascii="Calibri" w:hAnsi="Calibri"/>
          <w:b/>
          <w:color w:val="6E8450"/>
          <w:sz w:val="18"/>
        </w:rPr>
        <w:t>GROWTH SLEEVE · 2026-04-23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Wealthfront is an automated wealth management platform serving 1.42 million funded clients with $94.1B in platform assets. The company offers automated investing, financial planning, high-yield cash accounts, and lending products through a technology-first approach with no sales team, relying on product-driven organic growth since its founding in 2008.</w:t>
      </w:r>
    </w:p>
    <w:p>
      <w:r>
        <w:rPr>
          <w:rFonts w:ascii="Calibri" w:hAnsi="Calibri"/>
          <w:b/>
          <w:color w:val="6E8450"/>
          <w:sz w:val="18"/>
        </w:rPr>
        <w:t>https://www.wealthfront.com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Wealthfront has evolved from a simple robo-advisor to a comprehensive financial platform with automated investing, high-yield cash, lending, and financial planning — successfully expanding from a single product to a multi-product platform that grew funded clients 17% YoY to 1.42M and platform assets to $94.1B [1]. AI Deployment (1/2): Management discusses AI opportunities in earnings calls and allocates 40% of engineering resources to exploring new initiatives, but no specific AI-powered products with measurable revenue impact have been disclosed [2]. Market Share (1/2): Wealthfront is a meaningful player in the robo-advisory/digital wealth management space with $94.1B AUM, competing with Betterment, Schwab Intelligent Portfolios, and Vanguard Digital Advisor, but does not lead the category by AUM [1]. Pipeline (1/2): Product roadmap includes continued expansion of financial planning tools and portfolio management, with CEO Fortunato emphasizing a 40/40/20 resource split between exploration, optimization, and maintenance [2]. R&amp;D Intensity (1/1): Engineering-first culture with 1:1 engineer-to-non-engineer ratio is well above industry average for wealth management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Wealthfront's mission to democratize access to sophisticated financial advice and make wealth management accessible to everyone — not just the wealthy — is specific, thoughtful, and clearly shapes product decisions like operating without a sales team and maintaining low minimums [2]. This differentiates from traditional wealth managers. Community Impact (1/2): Wealthfront offers socially responsible investing portfolios with ESG-focused ETFs, expanding access to values-aligned investing, though specific charitable programs or dollar amounts for community investment are not disclosed [3]. Employee Retention (1/2): The company maintains a deliberate 1:1 engineer-to-non-engineer ratio and CEO David Fortunato has been with the company since 2009 (17 years), suggesting strong cultural continuity, though specific turnover data is not available [2]. Insider Buying (0/2): Net insider selling with 0 purchases and 8 sales in recent months, consistent with post-IPO lockup expiration selling following the December 2025 IPO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Wealthfront demonstrates strong revenue momentum with 18% YoY growth to $365M in FY2026 and 47% adjusted EBITDA margin, generating $151.1M in free cash flow (41.4% margin) [1]. D/E of just 1.7% reflects a nearly debt-free balance sheet with $440.8M cash against $10.4M debt [4]. Forward P/E of 14.8x is reasonable for an 18% revenue growth company. However, GAAP profitability is negative with -11.5% profit margin due to $239M in one-time IPO-related stock-based compensation, and ROE is -9.8% reflecting the GAAP loss [1][4]. The $100M share repurchase authorization signals management's confidence in the stock's value. Revenue 5yr CAGR is unavailable as the company only has 2 years of public financial history, but 1yr growth of 42.5% (FY2025 to FY2026) is exceptional [1]. Liquidity floor cleared: 1.46M avg vol x $11.12 = $16.2M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Wealthfront exhibits strong infinite game characteristics through its founding mission to democratize wealth management and its patient 17-year journey from startup to IPO. CEO David Fortunato's tenure since 2009 and Chairman Andy Rachleff's continued involvement demonstrate leadership continuity, though the post-IPO transition introduces new pressures to deliver quarterly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Wealthfront's cause — making sophisticated financial advice accessible to everyone, not just the wealthy — is genuine and has shaped strategic decisions for over a decade, including the deliberate choice to operate without a sales team and keep fees low [2]. The mission connects to a larger purpose of financial inclusion, but it hasn't been tested through multiple leadership transitions or major crises to reach the highest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1:1 engineer-to-non-engineer ratio reflects a culture that values technical talent, and CEO Fortunato's 17-year tenure provides leadership stability [2]. The company's product-driven growth model (no sales team) suggests an organization that trusts its product and engineering teams to drive outcomes. However, specific data on employee turnover or cultural practices is limited for this newly public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Wealthfront acknowledges competitors' strengths and positions itself through product differentiation rather than destructive competition. Management frames competition with Schwab, Vanguard, and Betterment as motivation to build better products rather than a war to win, evidenced by the focus on organic growth through product quality rather than aggressive marketing spend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Wealthfront has evolved from a pure robo-advisor to a comprehensive financial platform adding high-yield cash accounts, direct indexing, lending, and financial planning — expanding beyond its original scope [2]. The company also pivoted from an attempted UBS acquisition (which fell through in 2022) to an independent IPO path, demonstrating adaptability. These are incremental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Wealthfront chose to pursue an independent IPO in December 2025 rather than accept acquisition by a larger financial institution, betting on its ability to compete independently [1]. The decision to operate without a sales team — unconventional in financial services — represents a principled bet on product quality over traditional distribution. However, the company is still early in proving it can deliver sustained profitability as a public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Wealthfront offers exposure to the secular shift toward automated wealth management at a reasonable 14.8x forward P/E with 18% revenue growth and 47% adjusted EBITDA margin [1]. The company's $94.1B in platform assets, 1.42M funded clients (growing 17% YoY), and $151.1M free cash flow demonstrate a profitable, scaling business model with best-in-class unit economics for digital wealth management [1]. The nearly debt-free balance sheet ($440.8M cash vs $10.4M debt), $100M buyback authorization, and 89.6% gross margins provide significant financial flexibility, while the engineering-first culture and product-driven organic growth model minimize customer acquisition costs [2][4].</w:t>
      </w:r>
    </w:p>
    <w:p>
      <w:pPr>
        <w:spacing w:after="120"/>
      </w:pPr>
      <w:r>
        <w:rPr>
          <w:rFonts w:ascii="Calibri" w:hAnsi="Calibri"/>
          <w:b w:val="0"/>
          <w:color w:val="3A4A28"/>
          <w:sz w:val="20"/>
        </w:rPr>
        <w:t>The bear case centers on competitive intensity, GAAP profitability, and post-IPO execution. GAAP net income is negative due to $239M in IPO-related stock-based compensation, and ROE of -9.8% will need to turn positive as these charges normalize [1]. The digital wealth management space is increasingly crowded as traditional brokerages (Schwab, Fidelity, Vanguard) offer free or low-cost automated investing tools with larger brand recognition and AUM. AI-powered financial planning tools from big tech and fintech competitors could commoditize Wealthfront's core offering. The stock has declined 20% from its $14 IPO price, suggesting the market is skeptical about the growth trajectory. Fee compression across the wealth management industry threatens revenue per client, and the company's lack of a sales team may limit penetration into higher-AUM client segments that drive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platform asset growth toward $100B+ AUM, with 17% funded client growth providing organic inflows that compound management fees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expected as $239M IPO-related SBC charges normalize, potentially driving ROE positive and unlocking institutional investor interest [1]</w:t>
      </w:r>
    </w:p>
    <w:p>
      <w:pPr>
        <w:spacing w:before="40" w:after="40"/>
        <w:ind w:left="283"/>
      </w:pPr>
      <w:r>
        <w:rPr>
          <w:rFonts w:ascii="Calibri" w:hAnsi="Calibri"/>
          <w:b/>
          <w:color w:val="4A6B25"/>
          <w:sz w:val="20"/>
        </w:rPr>
        <w:t xml:space="preserve">3. </w:t>
      </w:r>
      <w:r>
        <w:rPr>
          <w:rFonts w:ascii="Calibri" w:hAnsi="Calibri"/>
          <w:b w:val="0"/>
          <w:color w:val="3A4A28"/>
          <w:sz w:val="20"/>
        </w:rPr>
        <w:t>$100M share repurchase program funded from $440.8M cash position, providing downside support and signaling management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commoditization as Schwab, Fidelity, and Vanguard offer automated investing at zero or near-zero fees with trillion-dollar AUM advantages and established brand trust [2]</w:t>
      </w:r>
    </w:p>
    <w:p>
      <w:pPr>
        <w:spacing w:before="40" w:after="40"/>
        <w:ind w:left="283"/>
      </w:pPr>
      <w:r>
        <w:rPr>
          <w:rFonts w:ascii="Calibri" w:hAnsi="Calibri"/>
          <w:b/>
          <w:color w:val="4A6B25"/>
          <w:sz w:val="20"/>
        </w:rPr>
        <w:t xml:space="preserve">2. </w:t>
      </w:r>
      <w:r>
        <w:rPr>
          <w:rFonts w:ascii="Calibri" w:hAnsi="Calibri"/>
          <w:b w:val="0"/>
          <w:color w:val="3A4A28"/>
          <w:sz w:val="20"/>
        </w:rPr>
        <w:t>AI disruption risk as large language models enable financial planning capabilities that could replicate Wealthfront's core robo-advisory value proposition at lower cost [2]</w:t>
      </w:r>
    </w:p>
    <w:p>
      <w:pPr>
        <w:spacing w:before="40" w:after="40"/>
        <w:ind w:left="283"/>
      </w:pPr>
      <w:r>
        <w:rPr>
          <w:rFonts w:ascii="Calibri" w:hAnsi="Calibri"/>
          <w:b/>
          <w:color w:val="4A6B25"/>
          <w:sz w:val="20"/>
        </w:rPr>
        <w:t xml:space="preserve">3. </w:t>
      </w:r>
      <w:r>
        <w:rPr>
          <w:rFonts w:ascii="Calibri" w:hAnsi="Calibri"/>
          <w:b w:val="0"/>
          <w:color w:val="3A4A28"/>
          <w:sz w:val="20"/>
        </w:rPr>
        <w:t>Post-IPO execution pressure with stock trading 20% below $14 IPO price, creating potential employee retention risk from underwater equity compensation and lock-up expiration selling pressure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Wealthfront's core automated investing and financial planning business faces meaningful AI disruption risk as large language models and AI agents increasingly commoditize robo-advisory capabilities. Traditional banks (JPMorgan, Goldman Sachs), big tech (Apple, Google), and fintech competitors are deploying AI-powered financial planning tools that could replicate Wealthfront's core value proposition [2]. However, Wealthfront's proprietary client data, $94.1B AUM platform effects, regulatory licensing requirements, and established trust relationships provide defensive moats that pure AI tools cannot easily replicate. The company's engineering-first culture positions it well to integrate AI rather than be disrupted by it. AI Opportunity (0/1): No specific AI-powered products generating quantifiable revenue have been announced, though management discusses AI as a strategic priority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Wealthfront FY2026 Earnings Release — Record $365M revenue, 47% adjusted EBITDA margin, $151.1M FCF, $94.1B platform assets, March 11, 2026</w:t>
      </w:r>
    </w:p>
    <w:p>
      <w:pPr>
        <w:spacing w:before="20" w:after="20"/>
        <w:ind w:left="170"/>
      </w:pPr>
      <w:r>
        <w:rPr>
          <w:rFonts w:ascii="Calibri" w:hAnsi="Calibri"/>
          <w:b/>
          <w:color w:val="4A6B25"/>
          <w:sz w:val="15"/>
        </w:rPr>
        <w:t xml:space="preserve">2. </w:t>
      </w:r>
      <w:r>
        <w:rPr>
          <w:rFonts w:ascii="Calibri" w:hAnsi="Calibri"/>
          <w:b w:val="0"/>
          <w:color w:val="3A4A28"/>
          <w:sz w:val="17"/>
        </w:rPr>
        <w:t>Wealthfront CEO David Fortunato Interview — Engineering culture, AI strategy, product-driven growth, Fintech Leaders Substack</w:t>
      </w:r>
    </w:p>
    <w:p>
      <w:pPr>
        <w:spacing w:before="20" w:after="20"/>
        <w:ind w:left="170"/>
      </w:pPr>
      <w:r>
        <w:rPr>
          <w:rFonts w:ascii="Calibri" w:hAnsi="Calibri"/>
          <w:b/>
          <w:color w:val="4A6B25"/>
          <w:sz w:val="15"/>
        </w:rPr>
        <w:t xml:space="preserve">3. </w:t>
      </w:r>
      <w:r>
        <w:rPr>
          <w:rFonts w:ascii="Calibri" w:hAnsi="Calibri"/>
          <w:b w:val="0"/>
          <w:color w:val="3A4A28"/>
          <w:sz w:val="17"/>
        </w:rPr>
        <w:t>Wealthfront Socially Responsible Investing — ESG portfolio offerings and investment approach</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WLTH (Wealthfront Corporation),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