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w:t>
      </w:r>
      <w:r>
        <w:rPr>
          <w:rFonts w:ascii="Calibri" w:hAnsi="Calibri"/>
          <w:b/>
          <w:color w:val="1A2010"/>
          <w:sz w:val="40"/>
        </w:rPr>
        <w:t xml:space="preserve">  Waste Management, Inc.</w:t>
      </w:r>
    </w:p>
    <w:p>
      <w:pPr>
        <w:spacing w:after="120"/>
      </w:pPr>
      <w:r>
        <w:rPr>
          <w:rFonts w:ascii="Calibri" w:hAnsi="Calibri"/>
          <w:b/>
          <w:color w:val="6E8450"/>
          <w:sz w:val="18"/>
        </w:rPr>
        <w:t>GROWTH SLEEVE · 2026-04-16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Waste Management is North America's largest environmental services company, providing collection, transfer, recycling, resource recovery, and disposal services to residential, commercial, industrial, and municipal customers. The company operates landfill gas-to-energy facilities, recycling plants, and a medical waste platform, generating over $25B in annual revenue.</w:t>
      </w:r>
    </w:p>
    <w:p>
      <w:r>
        <w:rPr>
          <w:rFonts w:ascii="Calibri" w:hAnsi="Calibri"/>
          <w:b/>
          <w:color w:val="6E8450"/>
          <w:sz w:val="18"/>
        </w:rPr>
        <w:t>60,500 Employees · https://www.wm.com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WM completed the $7.2B Stericycle acquisition in late 2024, adding a premier medical waste platform and expanding into regulated waste compliance services [1]. The sustainability segment contributed $235M-$255M in operating EBITDA for 2026, with ~60% from renewable energy and ~40% from recycling — a meaningful new revenue stream [1]. AI Deployment (1/2): WM is deploying automation across its fleet and recycling facilities, with CEO Jim Fish highlighting measurable margin improvements from technology investments, though no specific AI revenue figures have been disclosed [2]. Market Share (2/2): WM is the dominant player in North American waste management with the largest landfill network and route density, creating significant scale advantages and barriers to entry [1]. Pipeline (0/2): No transformative next-gen products with specific timelines; growth is incremental through pricing discipline and sustainability expansion [1]. R&amp;D Intensity (1/1): Above-average technology investment for the waste sector, including fleet automation and recycling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WM's purpose — 'maximizing resource value to build a sustainable future' — is specific, deeply tied to operations, and validated by decades of investment in landfill gas-to-energy, recycling infrastructure, and renewable natural gas [3]. The mission shapes capital allocation decisions, particularly the $235M+ sustainability EBITDA target [1]. Community Impact (2/2): WM operates one of the largest renewable energy portfolios in the waste industry, with landfill gas-to-energy facilities producing clean electricity, and published a comprehensive 2025 Sustainability Report with measurable environmental targets and community investment programs [3]. Employee Retention (1/2): CEO Jim Fish has emphasized a 'people-first' philosophy, investing in safety automation to reduce injuries on physically demanding collection routes, and managing workforce reductions of ~5,000 positions through attrition rather than layoffs [2]. Insider Buying (1/2): Senior leadership maintains significant equity exposure; John Morris's promotion to President in May 2025 signals internal confidence and succession planning discipline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WM's financial profile shows strong returns offset by elevated leverage from the Stericycle acquisition. ROE of 29.7% is well above the 15% target, and revenue grew 7.1% YoY to $25.2B with 5yr CAGR of 10.6% [4]. Forward P/E of 24.1x is reasonable for a defensive compounder. D/E of 239.4% is elevated due to the $23.9B debt load from acquisitions, scoring poorly against the 70% target [4]. Profit margin of 10.7% is below the 20% target but operating EBITDA margin hit 31.3% — the operating expense ratio dipped below 60% for the first time in company history [1]. Free cash flow grew 27% to $2.94B in 2025 with ~30% growth guided for 2026 [1]. Liquidity floor easily cleared at $513M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WM plays a long game by nature — landfill assets have multi-decade useful lives, and the company's sustainability investments in renewable energy and recycling represent 20+ year capital commitments. CEO Jim Fish's people-first approach to automation and the Stericycle acquisition demonstrate strategic patience, though the company's competitive language still centers on market dominance rather than purpose-driven 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WM's sustainability-centered purpose — turning waste into resources and renewable energy — is genuine and backed by decades of infrastructure investment in landfill gas-to-energy and recycling [3]. The 2025 Sustainability Report with specific interim targets demonstrates the cause shapes strategy. However, this purpose emerged gradually from operational realities rather than founding vision, keeping it short of the highest tier [3]. (2/3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Fish's 'people-first' philosophy and decision to manage 5,000 job reductions through attrition rather than layoffs signals respect for workers [2]. Safety-focused automation investment aims to reduce injuries on physically demanding routes. Employee sentiment ranks in the top 50% of similar-sized companies on Comparably, adequate but not exceptional [2]. (1/2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 acknowledges Republic Services and other waste operators as driving industry-wide improvements in recycling technology and sustainability practices [1]. The company's competitive language focuses on operational excellence and customer value rather than crushing competitors, consistent with an infinite competitive mindset. (1/1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WM has evolved from a pure collection-and-disposal company to an environmental services platform encompassing renewable energy, medical waste (Stericycle), and advanced recycling [1]. The sustainability pivot is meaningful and incremental rather than transformative — the core landfill and collection business remains dominant. (1/2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$7.2B Stericycle acquisition in 2024 was a bold bet on regulated medical waste during a period of elevated interest rates, temporarily increasing leverage to 239% D/E [1]. WM's commitment to sustainability investments — $235M+ EBITDA guided from sustainability in 2026 — demonstrates willingness to invest long-term even when it doesn't immediately optimize quarterly results [1]. (1/2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 is the dominant North American waste management operator generating $25.2B in revenue with improving operational efficiency — operating expenses fell below 60% of revenue for the first time in company history, driving EBITDA margin to 31.3% in Q4 2025 [1]. Free cash flow grew 27% to $2.94B with ~30% growth guided for 2026, supported by core pricing power (5.4-5.8% price increases), volume recovery, and $235M-$255M sustainability EBITDA contribution [1]. The Stericycle acquisition adds a high-margin medical waste platform with significant cross-sell opportunities. At 24.1x forward earnings with mid-single-digit revenue growth accelerating to high-single-digit EPS growth, WM offers defensive compounding in an essential-services business with multi-decade landfill asset lives [4].</w:t>
      </w:r>
    </w:p>
    <w:p>
      <w:pPr>
        <w:spacing w:after="120"/>
      </w:pPr>
      <w:r>
        <w:rPr>
          <w:rFonts w:ascii="Calibri" w:hAnsi="Calibri"/>
          <w:b w:val="0"/>
          <w:color w:val="3A4A28"/>
          <w:sz w:val="20"/>
        </w:rPr>
        <w:t>The bear case centers on elevated leverage and valuation. D/E of 239% from the Stericycle acquisition constrains financial flexibility and increases interest expense in a higher-rate environment [4]. Profit margin of 10.7% is below sector leaders, and revenue growth of 7.1% YoY is modest for a stock trading at 33.6x trailing earnings [4]. The 1.52% dividend yield is below the 2% threshold for income investors despite 21 consecutive years of growth. Recycling commodity price volatility creates earnings lumpiness, and EPR legislation spreading across states could impose new regulatory costs. WM's workforce reduction plan (5,000 positions by 2026) through automation creates execution risk if safety or service quality suffers during the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Free cash flow guided to grow ~30% in 2026 to approximately $3.8B, enabling accelerated debt paydown and shareholder returns post-Stericycle integration [1]</w:t>
      </w:r>
    </w:p>
    <w:p>
      <w:pPr>
        <w:spacing w:before="40" w:after="40"/>
        <w:ind w:left="283"/>
      </w:pPr>
      <w:r>
        <w:rPr>
          <w:rFonts w:ascii="Calibri" w:hAnsi="Calibri"/>
          <w:b/>
          <w:color w:val="4A6B25"/>
          <w:sz w:val="20"/>
        </w:rPr>
        <w:t xml:space="preserve">2. </w:t>
      </w:r>
      <w:r>
        <w:rPr>
          <w:rFonts w:ascii="Calibri" w:hAnsi="Calibri"/>
          <w:b w:val="0"/>
          <w:color w:val="3A4A28"/>
          <w:sz w:val="20"/>
        </w:rPr>
        <w:t>Sustainability segment EBITDA of $235M-$255M in 2026 from renewable energy and recycling, scaling toward a material earnings contributor [1]</w:t>
      </w:r>
    </w:p>
    <w:p>
      <w:pPr>
        <w:spacing w:before="40" w:after="40"/>
        <w:ind w:left="283"/>
      </w:pPr>
      <w:r>
        <w:rPr>
          <w:rFonts w:ascii="Calibri" w:hAnsi="Calibri"/>
          <w:b/>
          <w:color w:val="4A6B25"/>
          <w:sz w:val="20"/>
        </w:rPr>
        <w:t xml:space="preserve">3. </w:t>
      </w:r>
      <w:r>
        <w:rPr>
          <w:rFonts w:ascii="Calibri" w:hAnsi="Calibri"/>
          <w:b w:val="0"/>
          <w:color w:val="3A4A28"/>
          <w:sz w:val="20"/>
        </w:rPr>
        <w:t>Core pricing power of 5.4-5.8% with volume recovery of 0.2-0.6% driving organic revenue growth above inflation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239% D/E from $23.9B total debt constrains financial flexibility and increases refinancing risk if rates remain elevated [4]</w:t>
      </w:r>
    </w:p>
    <w:p>
      <w:pPr>
        <w:spacing w:before="40" w:after="40"/>
        <w:ind w:left="283"/>
      </w:pPr>
      <w:r>
        <w:rPr>
          <w:rFonts w:ascii="Calibri" w:hAnsi="Calibri"/>
          <w:b/>
          <w:color w:val="4A6B25"/>
          <w:sz w:val="20"/>
        </w:rPr>
        <w:t xml:space="preserve">2. </w:t>
      </w:r>
      <w:r>
        <w:rPr>
          <w:rFonts w:ascii="Calibri" w:hAnsi="Calibri"/>
          <w:b w:val="0"/>
          <w:color w:val="3A4A28"/>
          <w:sz w:val="20"/>
        </w:rPr>
        <w:t>Recycling commodity price volatility and potential wildfire-related volume headwinds (50bps guided impact) create near-term earnings variability [1]</w:t>
      </w:r>
    </w:p>
    <w:p>
      <w:pPr>
        <w:spacing w:before="40" w:after="40"/>
        <w:ind w:left="283"/>
      </w:pPr>
      <w:r>
        <w:rPr>
          <w:rFonts w:ascii="Calibri" w:hAnsi="Calibri"/>
          <w:b/>
          <w:color w:val="4A6B25"/>
          <w:sz w:val="20"/>
        </w:rPr>
        <w:t xml:space="preserve">3. </w:t>
      </w:r>
      <w:r>
        <w:rPr>
          <w:rFonts w:ascii="Calibri" w:hAnsi="Calibri"/>
          <w:b w:val="0"/>
          <w:color w:val="3A4A28"/>
          <w:sz w:val="20"/>
        </w:rPr>
        <w:t>Workforce automation transition — eliminating 5,000 positions while maintaining service quality and safety standards — creates operational execution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Waste collection, landfill operations, and recycling processing are fundamentally physical-world activities that AI cannot substitute [2]. WM's competitive moat — route density, landfill permits, and regulatory compliance infrastructure — is built on physical assets and local government contracts that AI structurally cannot replicate. If anything, AI-driven data centers and manufacturing growth increase waste volumes, making WM a net beneficiary of the AI economy [1]. AI Opportunity (0/1): WM uses automation and technology to improve fleet efficiency and recycling throughput, but does not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WM Q4 and Full-Year 2025 Earnings Release — $25.2B revenue, 31.3% EBITDA margin, $2.94B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AINvest / Stanford GSB — CEO Jim Fish leadership profile, people-first philosophy, automation strategy, 2025-2026</w:t>
      </w:r>
    </w:p>
    <w:p>
      <w:pPr>
        <w:spacing w:before="20" w:after="20"/>
        <w:ind w:left="170"/>
      </w:pPr>
      <w:r>
        <w:rPr>
          <w:rFonts w:ascii="Calibri" w:hAnsi="Calibri"/>
          <w:b/>
          <w:color w:val="4A6B25"/>
          <w:sz w:val="15"/>
        </w:rPr>
        <w:t xml:space="preserve">3. </w:t>
      </w:r>
      <w:r>
        <w:rPr>
          <w:rFonts w:ascii="Calibri" w:hAnsi="Calibri"/>
          <w:b w:val="0"/>
          <w:color w:val="3A4A28"/>
          <w:sz w:val="17"/>
        </w:rPr>
        <w:t>WM 2025 Sustainability Report — interim 2025 environmental targets, community investment programs, renewable energy portfolio</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WM (Waste Management), retrieved April 16, 2026</w:t>
      </w:r>
    </w:p>
    <w:p>
      <w:pPr>
        <w:spacing w:before="20" w:after="20"/>
        <w:ind w:left="170"/>
      </w:pPr>
      <w:r>
        <w:rPr>
          <w:rFonts w:ascii="Calibri" w:hAnsi="Calibri"/>
          <w:b/>
          <w:color w:val="4A6B25"/>
          <w:sz w:val="15"/>
        </w:rPr>
        <w:t xml:space="preserve">5. </w:t>
      </w:r>
      <w:r>
        <w:rPr>
          <w:rFonts w:ascii="Calibri" w:hAnsi="Calibri"/>
          <w:b w:val="0"/>
          <w:color w:val="3A4A28"/>
          <w:sz w:val="17"/>
        </w:rPr>
        <w:t>Barchart / MarketBeat — WM Q1 2026 earnings expectations, $1.76 EPS estimate, $8.16 full-year EPS consensus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