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WNW</w:t>
      </w:r>
      <w:r>
        <w:rPr>
          <w:rFonts w:ascii="Calibri" w:hAnsi="Calibri"/>
          <w:b/>
          <w:color w:val="1A2010"/>
          <w:sz w:val="40"/>
        </w:rPr>
        <w:t xml:space="preserve">  Meiwu Technology Company Limited</w:t>
      </w:r>
    </w:p>
    <w:p>
      <w:pPr>
        <w:spacing w:after="120"/>
      </w:pPr>
      <w:r>
        <w:rPr>
          <w:rFonts w:ascii="Calibri" w:hAnsi="Calibri"/>
          <w:b/>
          <w:color w:val="6E8450"/>
          <w:sz w:val="18"/>
        </w:rPr>
        <w:t>GROWTH SLEEVE · 2026-05-12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China</w:t>
      </w:r>
    </w:p>
    <w:p>
      <w:pPr>
        <w:spacing w:after="80"/>
      </w:pPr>
      <w:r>
        <w:rPr>
          <w:rFonts w:ascii="Calibri" w:hAnsi="Calibri"/>
          <w:b w:val="0"/>
          <w:color w:val="3A4A28"/>
          <w:sz w:val="20"/>
        </w:rPr>
        <w:t>Meiwu Technology Company Limited operates online and mobile commerce businesses in China. It operates through Clean Food platform, Skincare Products &amp; Service, and Technical Service segments, selling skincare products, food items, and providing CPaaS technical services.</w:t>
      </w:r>
    </w:p>
    <w:p>
      <w:r>
        <w:rPr>
          <w:rFonts w:ascii="Calibri" w:hAnsi="Calibri"/>
          <w:b/>
          <w:color w:val="6E8450"/>
          <w:sz w:val="18"/>
        </w:rPr>
        <w:t>92 Employees · https://www.wnw108.com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Meiwu has pivoted from online food sales to skincare products and CPaaS technical services, but these are incremental segment additions rather than transformative innovation (1 pt track record) [1]. In March 2026, the company announced a strategic AI insights initiative to explore AI-assisted data analysis for skincare R&amp;D formulation analysis, but this is exploratory with no shipped products or quantified results (0 pts AI deployment) [2]. With $7.1M annual revenue and a $4.3M market cap, Meiwu has no meaningful market share in any category (0 pts). The AI initiative lacks specific product timelines or revenue visibility (0 pts pipeline). R&amp;D spending is minimal relative to revenue, appropriate for the company's small scale (1 pt R&amp;D given effort at company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discernible mission or purpose statement beyond operational descriptions of selling skincare and food products — the company does not articulate why it exists beyond commercial activity (0 pts mission floor) [1]. No evidence of community or charitable programs (0 pts). No employee retention data available for a 92-person company operating in Xiamen, China (0 pts). No evidence of insider buying; the company conducted a 1-for-20 reverse stock split in March 2025 and a $14M registered direct offering, suggesting capital-raising rather than insider conviction (0 pts) [3]. The 1 point reflects minimal baseline corporate governance with appointment of independent director Yan Siook Yi in January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Meiwu's financial profile is paradoxical: very low D/E of 0.08% (effectively no debt) and explosive revenue growth of 6,264.6% YoY are offset by deeply negative ROE (-33.6%) and profit margin (-262.5%) [4]. The revenue growth figure is misleading — it represents recovery from a near-zero base rather than sustainable expansion, with TTM revenue of only $7.1M. Forward P/E is unavailable as no analyst coverage exists. The terminated VIE structure adds governance complexity. Market cap of $4.3M makes this a nano-cap stock with severe size risk. Liquidity floor: avg_daily_volume (738,710) x price ($3.20) = $2.36M, which passes the $1M threshold but barely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Meiwu Technology shows clear finite game characteristics: no articulated purpose beyond commercial survival, frequent business pivots driven by short-term opportunity rather than vision, capital-raising through dilutive offerings and reverse splits, and no evidence of long-term strategic thinking. This is a company playing to survive each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is evident. The company has shifted from food e-commerce to skincare to CPaaS to bitcoin exposure with no connecting thread or articulated vision of a better future [1][3]. Each pivot appears driven by market trends or survival instinct rather than a coherent purpose. The company exists to generate revenue,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organizational trust, cultural distinctiveness, or employee empowerment. The 92-person workforce operates in Xiamen, China, with no public information on retention, culture, or employee satisfaction [1]. The terminated VIE structure, reverse stock splits, and frequent strategic pivots suggest an unstable organizational environment. Appointment of new independent director in January 2026 signals governance improvements but does not indicate a high-trust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learning from rivals. Meiwu operates as a nano-cap participant in massive markets (Chinese e-commerce, skincare, CPaaS) dominated by Alibaba, JD.com, and Tencent. There is no indication that management studies competitors' strengths or uses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demonstrated willingness to change — pivoting from food e-commerce to skincare to CPaaS and adding bitcoin exposure — but these pivots appear opportunistic rather than cause-driven [1][3]. The flexibility exists but serves survival rather than a larger purpose, which Sinek would characterize as reactive rather than strategic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 loss-making, nano-cap company across multiple business segments in China while maintaining a US listing requires some baseline courage from leadership [3]. However, there is no evidence of sacrificing near-term results for long-term capability building — the company's trajectory suggests managing from quarter to quarter with capital raises as needed.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Meiwu Technology is a nano-cap Chinese e-commerce and skincare company with $7.1M annual revenue and a $4.3M market cap, essentially a micro-enterprise with a NASDAQ listing. The very low leverage (D/E 0.08%) and explosive revenue growth from a near-zero base suggest the business is not in immediate danger of collapse.</w:t>
      </w:r>
    </w:p>
    <w:p>
      <w:pPr>
        <w:spacing w:after="120"/>
      </w:pPr>
      <w:r>
        <w:rPr>
          <w:rFonts w:ascii="Calibri" w:hAnsi="Calibri"/>
          <w:b w:val="0"/>
          <w:color w:val="3A4A28"/>
          <w:sz w:val="20"/>
        </w:rPr>
        <w:t>However, there is no credible investment case for institutional or retail investors. The company has no discernible competitive advantage, no profitable business line (profit margin -262.5%), no analyst coverage, and a history of dilutive capital raises and reverse stock splits [3]. The terminated VIE structure adds China governance risk, and the $4.3M market cap means the stock is essentially uninvestable for any portfolio with meaningful assets. The AI initiative announced in March 2026 is aspirational at best. This is a speculative nano-cap with no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insights initiative for skincare R&amp;D formulation analysis could differentiate product development if successfully implemented [2]</w:t>
      </w:r>
    </w:p>
    <w:p>
      <w:pPr>
        <w:spacing w:before="40" w:after="40"/>
        <w:ind w:left="283"/>
      </w:pPr>
      <w:r>
        <w:rPr>
          <w:rFonts w:ascii="Calibri" w:hAnsi="Calibri"/>
          <w:b/>
          <w:color w:val="4A6B25"/>
          <w:sz w:val="20"/>
        </w:rPr>
        <w:t xml:space="preserve">2. </w:t>
      </w:r>
      <w:r>
        <w:rPr>
          <w:rFonts w:ascii="Calibri" w:hAnsi="Calibri"/>
          <w:b w:val="0"/>
          <w:color w:val="3A4A28"/>
          <w:sz w:val="20"/>
        </w:rPr>
        <w:t>Revenue recovery from near-zero base (6,264% YoY growth) could continue if skincare and CPaaS segments gain traction in China [4]</w:t>
      </w:r>
    </w:p>
    <w:p>
      <w:pPr>
        <w:spacing w:before="40" w:after="40"/>
        <w:ind w:left="283"/>
      </w:pPr>
      <w:r>
        <w:rPr>
          <w:rFonts w:ascii="Calibri" w:hAnsi="Calibri"/>
          <w:b/>
          <w:color w:val="4A6B25"/>
          <w:sz w:val="20"/>
        </w:rPr>
        <w:t xml:space="preserve">3. </w:t>
      </w:r>
      <w:r>
        <w:rPr>
          <w:rFonts w:ascii="Calibri" w:hAnsi="Calibri"/>
          <w:b w:val="0"/>
          <w:color w:val="3A4A28"/>
          <w:sz w:val="20"/>
        </w:rPr>
        <w:t>Very low leverage provides financial flexibility to survive market downturns without debt distress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status ($4.3M market cap) with thin liquidity ($2.36M daily dollar volume) creates severe price manipulation and delisting risk [4]</w:t>
      </w:r>
    </w:p>
    <w:p>
      <w:pPr>
        <w:spacing w:before="40" w:after="40"/>
        <w:ind w:left="283"/>
      </w:pPr>
      <w:r>
        <w:rPr>
          <w:rFonts w:ascii="Calibri" w:hAnsi="Calibri"/>
          <w:b/>
          <w:color w:val="4A6B25"/>
          <w:sz w:val="20"/>
        </w:rPr>
        <w:t xml:space="preserve">2. </w:t>
      </w:r>
      <w:r>
        <w:rPr>
          <w:rFonts w:ascii="Calibri" w:hAnsi="Calibri"/>
          <w:b w:val="0"/>
          <w:color w:val="3A4A28"/>
          <w:sz w:val="20"/>
        </w:rPr>
        <w:t>Deeply unprofitable operations (profit margin -262.5%, $18.2M net loss in FY2025) with reliance on dilutive capital raises for survival [3]</w:t>
      </w:r>
    </w:p>
    <w:p>
      <w:pPr>
        <w:spacing w:before="40" w:after="40"/>
        <w:ind w:left="283"/>
      </w:pPr>
      <w:r>
        <w:rPr>
          <w:rFonts w:ascii="Calibri" w:hAnsi="Calibri"/>
          <w:b/>
          <w:color w:val="4A6B25"/>
          <w:sz w:val="20"/>
        </w:rPr>
        <w:t xml:space="preserve">3. </w:t>
      </w:r>
      <w:r>
        <w:rPr>
          <w:rFonts w:ascii="Calibri" w:hAnsi="Calibri"/>
          <w:b w:val="0"/>
          <w:color w:val="3A4A28"/>
          <w:sz w:val="20"/>
        </w:rPr>
        <w:t>China regulatory risk intensified by terminated VIE structure and added bitcoin/PRC regulatory disclosures in 20-F filing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Meiwu's businesses — online skincare sales, food e-commerce, and CPaaS services — face meaningful AI disruption across multiple fronts (4 pts risk protection) [1][2]. E-commerce product discovery and customer engagement are being transformed by AI-powered recommendation engines and conversational commerce from major platforms like Alibaba and JD.com. The CPaaS technical services segment faces competition from AI-enhanced communication platforms. Skincare R&amp;D could be enhanced by AI but the company's scale is too small to build proprietary AI capabilities. The announced AI insights initiative for skincare formulation analysis is exploratory with no revenue contribution (0 pts AI opportunity) [2]. Meiwu's businesses are not structurally immune to AI disruption and the company lacks the scale to defend against AI-native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Meiwu Technology Company Profile and Business Segments, Yahoo Finance/Investing.com, 2026</w:t>
      </w:r>
    </w:p>
    <w:p>
      <w:pPr>
        <w:spacing w:before="20" w:after="20"/>
        <w:ind w:left="170"/>
      </w:pPr>
      <w:r>
        <w:rPr>
          <w:rFonts w:ascii="Calibri" w:hAnsi="Calibri"/>
          <w:b/>
          <w:color w:val="4A6B25"/>
          <w:sz w:val="15"/>
        </w:rPr>
        <w:t xml:space="preserve">2. </w:t>
      </w:r>
      <w:r>
        <w:rPr>
          <w:rFonts w:ascii="Calibri" w:hAnsi="Calibri"/>
          <w:b w:val="0"/>
          <w:color w:val="3A4A28"/>
          <w:sz w:val="17"/>
        </w:rPr>
        <w:t>WNW Strategic AI Insights Initiative for Functional Skincare, PRNewswire/StockTitan, March 2026</w:t>
      </w:r>
    </w:p>
    <w:p>
      <w:pPr>
        <w:spacing w:before="20" w:after="20"/>
        <w:ind w:left="170"/>
      </w:pPr>
      <w:r>
        <w:rPr>
          <w:rFonts w:ascii="Calibri" w:hAnsi="Calibri"/>
          <w:b/>
          <w:color w:val="4A6B25"/>
          <w:sz w:val="15"/>
        </w:rPr>
        <w:t xml:space="preserve">3. </w:t>
      </w:r>
      <w:r>
        <w:rPr>
          <w:rFonts w:ascii="Calibri" w:hAnsi="Calibri"/>
          <w:b w:val="0"/>
          <w:color w:val="3A4A28"/>
          <w:sz w:val="17"/>
        </w:rPr>
        <w:t>Meiwu Technology 20-F Filing, SEC/StockTitan — Revenue, Losses, VIE Termination, Reverse Split,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WNW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