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WORX</w:t>
      </w:r>
      <w:r>
        <w:rPr>
          <w:rFonts w:ascii="Calibri" w:hAnsi="Calibri"/>
          <w:b/>
          <w:color w:val="1A2010"/>
          <w:sz w:val="40"/>
        </w:rPr>
        <w:t xml:space="preserve">  SCWorx Corp.</w:t>
      </w:r>
    </w:p>
    <w:p>
      <w:pPr>
        <w:spacing w:after="120"/>
      </w:pPr>
      <w:r>
        <w:rPr>
          <w:rFonts w:ascii="Calibri" w:hAnsi="Calibri"/>
          <w:b/>
          <w:color w:val="6E8450"/>
          <w:sz w:val="18"/>
        </w:rPr>
        <w:t>GROWTH SLEEVE · 2026-03-24 · Inspire: 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Technology · Healthcare IT / Data Management · NASDAQ · United States</w:t>
      </w:r>
    </w:p>
    <w:p>
      <w:pPr>
        <w:spacing w:after="80"/>
      </w:pPr>
      <w:r>
        <w:rPr>
          <w:rFonts w:ascii="Calibri" w:hAnsi="Calibri"/>
          <w:b w:val="0"/>
          <w:color w:val="3A4A28"/>
          <w:sz w:val="20"/>
        </w:rPr>
        <w:t>SCWorx Corp. provides cloud-based data management, normalization, and interoperability solutions for healthcare providers in the United States, primarily supporting hospital Workday ERP implementations with item master file repair, charge description master management, and data governance services. The company has 7 employees, $2.78M in trailing twelve-month revenue, and a market cap of $3M. It faces Nasdaq delisting for falling below the $1.00 minimum bid price requirement, with a compliance deadline of April 6, 2026.</w:t>
      </w:r>
    </w:p>
    <w:p>
      <w:r>
        <w:rPr>
          <w:rFonts w:ascii="Calibri" w:hAnsi="Calibri"/>
          <w:b/>
          <w:color w:val="6E8450"/>
          <w:sz w:val="18"/>
        </w:rPr>
        <w:t>7 Employees · https://scworx.com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SCWorx scores very low on innovation — healthcare data normalization is a narrow, services-based niche with limited technological differentiation. Track record (1/3): the company has built a small but recurring healthcare data services business, renewing contracts with existing customers including a 113% value increase in one three-year renewal [1]. AI deployment (0/2): SCWorx's SaaS platform incorporates standard data analytics, but no AI-specific deployment or measurable AI-driven value creation has been cited [1]. Market share (0/2): $2.78M in annual revenue represents negligible market share in healthcare IT [1]. Pipeline (1/2): the recent Southeastern healthcare IDN SaaS agreement and Midwest academic hospital contracts provide a defined near-term revenue pipeline [1]. R&amp;D intensity (0/1): 7 employees limit meaningful R&amp;D investment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SCWorx's mission to improve healthcare data quality and interoperability is legitimately meaningful — poor data quality in healthcare systems contributes to medical errors and administrative waste [2]. Community impact (0/2): at 7 employees and $3M market cap, there are no corporate philanthropic programs [1]. Employee retention (1/2): the tiny team suggests deep individual commitment to the business, but the Nasdaq compliance crisis and 89.6% stock decline in 52 weeks create extreme uncertainty [1]. Insider buying (0/2): no insider buying cited; the financial distress context makes insider investment unlikely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WORX fails the liquidity floor: stock price of $0.1373 × approximately 200,000 avg daily volume = approximately $27,460 — FAR BELOW the $1,000,000 liquidity threshold. Infrastructure score = 0. For completeness: ROE of -74.23% (floor, score = 0). Profit margin: net loss of $3.89M on $2.78M revenue, margin approximately -140% (floor, score = 0). D/E of 3% is excellent but irrelevant given liquidity failure. Altman Z-Score of -5.8 signals financial distress. Market cap of $3M.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SCWorx is a micro-cap company fighting Nasdaq delisting with 7 employees and a $3M market cap. The Infinite Game framework requires at minimum the financial stability to make long-term bets; SCWorx is focused entirely on short-term survival.</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Improving healthcare data quality is a meaningful goal, but SCWorx's scale (7 employees, $2.78M revenue) means it cannot articulate a Just Cause that extends beyond its own survival. There is no distinctive vision of a better healthcare system that traces back to consistent strategic decisions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7 employees and Nasdaq delisting risk, organizational stability is essentially impossible to assess. The all-time stock high of $1,559 versus the current $0.14 reflects a company that has been through multiple crises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SCWorx competes in the narrow niche of healthcare data normalization against larger firms like Veeva, Informatica, and in-house teams at major consulting firms. There is no evidence of a worthy-rivals learning posture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not demonstrated meaningful strategic pivots; it has remained in healthcare data normalization since inception. The primary strategic adaptation has been surviving repeated near-death financial experiences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Signing new SaaS agreements (Southeastern IDN, Midwest academic hospital) while facing Nasdaq delisting demonstrates persistence, but this is survival behavior rather than courageous long-term strategic investment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SCWorx's only viable bull case is acquisition: the company has a working SaaS platform, documented hospital customer relationships with long-term contracts, and a niche in supporting Workday implementations — a growing enterprise market. A larger healthcare IT firm could acquire SCWorx for its customer base and technology at a premium to the $3M market cap [1].</w:t>
      </w:r>
    </w:p>
    <w:p>
      <w:pPr>
        <w:spacing w:after="120"/>
      </w:pPr>
      <w:r>
        <w:rPr>
          <w:rFonts w:ascii="Calibri" w:hAnsi="Calibri"/>
          <w:b w:val="0"/>
          <w:color w:val="3A4A28"/>
          <w:sz w:val="20"/>
        </w:rPr>
        <w:t>The bear case is overwhelming: WORX fails IOWN's basic liquidity threshold by approximately 97% ($27K avg daily value vs. $1M minimum); the stock has lost 89.6% of its value in 52 weeks; Nasdaq delisting by April 6, 2026, is likely given the $0.1373 stock price; an Altman Z-Score of -5.8 signals extreme financial distress; and the company has 7 employees generating $2.78M in revenue against $3.89M in net losses. This is a company in terminal decline absent an acquisition or capital infusion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compliance through a reverse stock split or sustained price recovery above $1.00 by April 6, 2026 is a prerequisite for continued public market access</w:t>
      </w:r>
    </w:p>
    <w:p>
      <w:pPr>
        <w:spacing w:before="40" w:after="40"/>
        <w:ind w:left="283"/>
      </w:pPr>
      <w:r>
        <w:rPr>
          <w:rFonts w:ascii="Calibri" w:hAnsi="Calibri"/>
          <w:b/>
          <w:color w:val="4A6B25"/>
          <w:sz w:val="20"/>
        </w:rPr>
        <w:t xml:space="preserve">2. </w:t>
      </w:r>
      <w:r>
        <w:rPr>
          <w:rFonts w:ascii="Calibri" w:hAnsi="Calibri"/>
          <w:b w:val="0"/>
          <w:color w:val="3A4A28"/>
          <w:sz w:val="20"/>
        </w:rPr>
        <w:t>New SaaS customer acquisitions in the Workday implementation support market could accelerate revenue toward a breakeven trajectory</w:t>
      </w:r>
    </w:p>
    <w:p>
      <w:pPr>
        <w:spacing w:before="40" w:after="40"/>
        <w:ind w:left="283"/>
      </w:pPr>
      <w:r>
        <w:rPr>
          <w:rFonts w:ascii="Calibri" w:hAnsi="Calibri"/>
          <w:b/>
          <w:color w:val="4A6B25"/>
          <w:sz w:val="20"/>
        </w:rPr>
        <w:t xml:space="preserve">3. </w:t>
      </w:r>
      <w:r>
        <w:rPr>
          <w:rFonts w:ascii="Calibri" w:hAnsi="Calibri"/>
          <w:b w:val="0"/>
          <w:color w:val="3A4A28"/>
          <w:sz w:val="20"/>
        </w:rPr>
        <w:t>Acquisition offer from a healthcare IT or SaaS consolidator would represent the most likely positive outcome for current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the April 6, 2026 compliance deadline requires the stock to sustain above $1.00 — currently at $0.14, requiring a ~7x increase; delisting would make shares nearly untradeable for institutional investors</w:t>
      </w:r>
    </w:p>
    <w:p>
      <w:pPr>
        <w:spacing w:before="40" w:after="40"/>
        <w:ind w:left="283"/>
      </w:pPr>
      <w:r>
        <w:rPr>
          <w:rFonts w:ascii="Calibri" w:hAnsi="Calibri"/>
          <w:b/>
          <w:color w:val="4A6B25"/>
          <w:sz w:val="20"/>
        </w:rPr>
        <w:t xml:space="preserve">2. </w:t>
      </w:r>
      <w:r>
        <w:rPr>
          <w:rFonts w:ascii="Calibri" w:hAnsi="Calibri"/>
          <w:b w:val="0"/>
          <w:color w:val="3A4A28"/>
          <w:sz w:val="20"/>
        </w:rPr>
        <w:t>Going concern: Altman Z-Score of -5.8 indicates severe financial distress; without new customer revenue or a capital infusion, cash depletion is the likely outcome</w:t>
      </w:r>
    </w:p>
    <w:p>
      <w:pPr>
        <w:spacing w:before="40" w:after="40"/>
        <w:ind w:left="283"/>
      </w:pPr>
      <w:r>
        <w:rPr>
          <w:rFonts w:ascii="Calibri" w:hAnsi="Calibri"/>
          <w:b/>
          <w:color w:val="4A6B25"/>
          <w:sz w:val="20"/>
        </w:rPr>
        <w:t xml:space="preserve">3. </w:t>
      </w:r>
      <w:r>
        <w:rPr>
          <w:rFonts w:ascii="Calibri" w:hAnsi="Calibri"/>
          <w:b w:val="0"/>
          <w:color w:val="3A4A28"/>
          <w:sz w:val="20"/>
        </w:rPr>
        <w:t>AI disruption: large language models and AI-native data management tools could commoditize healthcare data normalization, eliminating the need for specialized human-led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SCWorx's core service — healthcare data normalization for ERP implementations — faces meaningful AI disruption risk. AI tools (large language models, data cleaning models) are increasingly capable of performing exactly the type of structured data repair, normalization, and interoperability mapping that SCWorx does manually. As hospitals adopt AI-native ERP tools, the demand for specialized data cleaning consultants could decline [1]. AI Opportunity (0/1): SCWorx does not generate AI product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SCWorx Corp. Q3 2025 Earnings and customer announcements, November 2025–March 2026</w:t>
      </w:r>
    </w:p>
    <w:p>
      <w:pPr>
        <w:spacing w:before="20" w:after="20"/>
        <w:ind w:left="170"/>
      </w:pPr>
      <w:r>
        <w:rPr>
          <w:rFonts w:ascii="Calibri" w:hAnsi="Calibri"/>
          <w:b/>
          <w:color w:val="4A6B25"/>
          <w:sz w:val="15"/>
        </w:rPr>
        <w:t xml:space="preserve">2. </w:t>
      </w:r>
      <w:r>
        <w:rPr>
          <w:rFonts w:ascii="Calibri" w:hAnsi="Calibri"/>
          <w:b w:val="0"/>
          <w:color w:val="3A4A28"/>
          <w:sz w:val="17"/>
        </w:rPr>
        <w:t>SCWorx corporate website and investor relations — scworx.com</w:t>
      </w:r>
    </w:p>
    <w:p>
      <w:pPr>
        <w:spacing w:before="20" w:after="20"/>
        <w:ind w:left="170"/>
      </w:pPr>
      <w:r>
        <w:rPr>
          <w:rFonts w:ascii="Calibri" w:hAnsi="Calibri"/>
          <w:b/>
          <w:color w:val="4A6B25"/>
          <w:sz w:val="15"/>
        </w:rPr>
        <w:t xml:space="preserve">3. </w:t>
      </w:r>
      <w:r>
        <w:rPr>
          <w:rFonts w:ascii="Calibri" w:hAnsi="Calibri"/>
          <w:b w:val="0"/>
          <w:color w:val="3A4A28"/>
          <w:sz w:val="17"/>
        </w:rPr>
        <w:t>StockAnalysis.com — WORX statistics and overview,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NASDAQ — WORX minimum bid price compliance notice,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