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WPC</w:t>
      </w:r>
      <w:r>
        <w:rPr>
          <w:rFonts w:ascii="Calibri" w:hAnsi="Calibri"/>
          <w:b/>
          <w:color w:val="1A2010"/>
          <w:sz w:val="40"/>
        </w:rPr>
        <w:t xml:space="preserve">  W. P. Carey Inc.</w:t>
      </w:r>
    </w:p>
    <w:p>
      <w:pPr>
        <w:spacing w:after="120"/>
      </w:pPr>
      <w:r>
        <w:rPr>
          <w:rFonts w:ascii="Calibri" w:hAnsi="Calibri"/>
          <w:b/>
          <w:color w:val="6E8450"/>
          <w:sz w:val="18"/>
        </w:rPr>
        <w:t>DIVIDEND SLEEVE · 2026-04-29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W. P. Carey Inc. ranks among the largest net lease REITs with a well-diversified portfolio of 1,682 high-quality, operationally critical commercial real estate properties covering approximately 183 million square feet. The company invests primarily in single-tenant industrial, warehouse, and retail properties in the U.S. and Europe under long-term net leases with built-in rent escalations.</w:t>
      </w:r>
    </w:p>
    <w:p>
      <w:r>
        <w:rPr>
          <w:rFonts w:ascii="Calibri" w:hAnsi="Calibri"/>
          <w:b/>
          <w:color w:val="6E8450"/>
          <w:sz w:val="18"/>
        </w:rPr>
        <w:t>199 Employees · https://www.wpcarey.com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WPC executed a significant strategic pivot in late 2023, exiting its office portfolio entirely and resetting its dividend to redeploy capital into industrial and essential retail assets — a meaningful repositioning but not a transformative product launch [1]. AI Deployment (0/2): No AI-powered products or quantified AI-driven cost savings; the company's business model centers on physical asset ownership with triple-net leases [2]. Market Share Leadership (1/2): WPC ranks among the largest diversified net lease REITs globally with 183M sq ft across 1,682 properties, but competes behind Realty Income and STORE Capital in scale [1]. Product Pipeline (1/2): Management guided $1.5B–$2.0B in 2026 investment volume with $682M already deployed in Q1, showing visible deal pipeline but no next-gen product innovation [1]. R&amp;D Intensity (1/1): Not applicable in traditional sense, but WPC's European diversification (unique among peers) and sale-leaseback structuring expertise represent above-peer intellectual capital in deal sourcing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WPC's stated purpose centers on 'investing for the long run' with a focus on creating value through operationally critical real estate — clear and identifies stakeholders but not distinctive or inspiring beyond the obvious [3]. Community &amp; Charitable Impact (1/2): The company published a 2024 Corporate Responsibility Report and maintains ESG programs including green building investments and sustainability initiatives, but specific dollar amounts for charitable giving are not prominently disclosed [4]. Employee Retention (0/2): With only 199 employees, WPC is a lean organization; Glassdoor rating of 3.5/5 with only 50% recommending the company and concerns about management prioritizing AFFO metrics over employee welfare suggest mediocre retention [3]. Insider Buying (1/2): No significant net insider buying data found in recent searches; management compensation is heavily equity-based but discretionary purchases are not prominently reported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WPC's balance sheet carries D/E of 109% (elevated for a REIT but typical of the sector) with $2.8B in total liquidity as of Q1 2026 [1]. ROE at 5.7% is weak, reflecting REIT accounting where depreciation suppresses net income versus AFFO [2]. Revenue grew 8.8% YoY and the 3-year CAGR is approximately 5.1%, driven by net acquisition activity and contractual 2.4% same-store rent escalations [1]. Forward P/E of 26.1x is above target but reasonable for a net lease REIT. Profit margin of 27.3% is strong. The payout ratio of 171.6% on GAAP earnings (typical for REITs which distribute based on AFFO, not net income) and the 2023 dividend reset from $4.15 to $3.49 severely penalize dividend metrics, with 5-year dividend growth CAGR at -3.2% and only 2 consecutive years of growth since the reset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WPC demonstrates mixed infinite game characteristics. The company's 50+ year history and long-term net lease model reflect a patient, enduring approach to value creation, but the 2023 office exit and dividend cut — while strategically sound — represented a painful break from its previous identity as the quintessential diversified REIT with an unbroken dividend growth streak [1][3].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WPC's purpose of 'investing for the long run' is genuine and has been validated by 50+ years of operations, but it reads more as a business philosophy than a transformative Just Cause. The company exists to generate stable income from real estate — a worthy financial objective but not an idealistic vision of a better future that inspires sacrifice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199 employees, WPC operates as a lean, specialized team. CEO Jason Fox has been with the company since 2002, providing leadership continuity. However, Glassdoor reviews (3.5/5) reveal mixed sentiment with concerns about management prioritizing AFFO metrics over employee welfare, and only 49% having a positive business outlook — suggesting adequate but not exceptional organizational trust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WPC consistently benchmarks itself against Realty Income (O) and other net lease peers, using competitive pressure to sharpen its European diversification strategy and sale-leaseback expertise rather than pursuing a 'winner-take-all' narrative. Management commentary focuses on differentiated deal sourcing and portfolio quality rather than crushing competitors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2023 strategic exit from the entire office portfolio — approximately 16% of ABR — and concurrent dividend reset was a significant pivot that sacrificed short-term income stability for long-term portfolio quality. This was incremental rather than transformative, as WPC remained a net lease REIT throughout, but it demonstrated willingness to accept near-term pain for better positioning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Jason Fox made the difficult decision to exit the office portfolio entirely in 2023 and cut the dividend by ~16%, accepting significant investor backlash and a stock price decline to reposition the portfolio toward higher-quality industrial and essential retail assets. This required genuine courage but represents a single major decision rather than a sustained pattern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 P. Carey offers a compelling income story with improving fundamentals following its 2023 strategic reset. Q1 2026 results were strong with revenue up 10.9% YoY to $454.5M, AFFO per share growing 11.1% to $1.30, and net income surging 40.1% to $176.3M [1]. The raised 2026 AFFO guidance of $5.16–$5.26/share and $1.5B–$2.0B investment pipeline signal management confidence in the growth trajectory. The 5.12% dividend yield, now growing again after the reset, provides attractive current income from a portfolio of 1,682 operationally critical properties with built-in 2.4% contractual rent escalations [1].</w:t>
      </w:r>
    </w:p>
    <w:p>
      <w:pPr>
        <w:spacing w:after="120"/>
      </w:pPr>
      <w:r>
        <w:rPr>
          <w:rFonts w:ascii="Calibri" w:hAnsi="Calibri"/>
          <w:b w:val="0"/>
          <w:color w:val="3A4A28"/>
          <w:sz w:val="20"/>
        </w:rPr>
        <w:t>The bear case centers on WPC's elevated GAAP payout ratio (171.6%), which while typical for REITs using AFFO-based distributions, leaves limited margin if property-level fundamentals deteriorate. The D/E ratio of 109% and $8.9B in total debt require continued access to capital markets at favorable rates — a risk if interest rates remain elevated [2]. Revenue growth has been lumpy (declining in 2024 before recovering in 2025), and the 5-year dividend growth CAGR of -3.2% will take several more years of increases to restore investor confidence lost during the 2023 reset. Competition for net lease acquisitions remains fierce from larger peers like Realty Income, potentially compressing cap rates on new investments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AFFO guidance to $5.16–$5.26/share with $682M already invested in Q1 and $1.5B–$2.0B full-year pipeline providing visible earnings growth</w:t>
      </w:r>
    </w:p>
    <w:p>
      <w:pPr>
        <w:spacing w:before="40" w:after="40"/>
        <w:ind w:left="283"/>
      </w:pPr>
      <w:r>
        <w:rPr>
          <w:rFonts w:ascii="Calibri" w:hAnsi="Calibri"/>
          <w:b/>
          <w:color w:val="4A6B25"/>
          <w:sz w:val="20"/>
        </w:rPr>
        <w:t xml:space="preserve">2. </w:t>
      </w:r>
      <w:r>
        <w:rPr>
          <w:rFonts w:ascii="Calibri" w:hAnsi="Calibri"/>
          <w:b w:val="0"/>
          <w:color w:val="3A4A28"/>
          <w:sz w:val="20"/>
        </w:rPr>
        <w:t>Contractual same-store rent escalations of 2.4% (constant currency) provide organic growth tailwind across the 1,682-property portfolio</w:t>
      </w:r>
    </w:p>
    <w:p>
      <w:pPr>
        <w:spacing w:before="40" w:after="40"/>
        <w:ind w:left="283"/>
      </w:pPr>
      <w:r>
        <w:rPr>
          <w:rFonts w:ascii="Calibri" w:hAnsi="Calibri"/>
          <w:b/>
          <w:color w:val="4A6B25"/>
          <w:sz w:val="20"/>
        </w:rPr>
        <w:t xml:space="preserve">3. </w:t>
      </w:r>
      <w:r>
        <w:rPr>
          <w:rFonts w:ascii="Calibri" w:hAnsi="Calibri"/>
          <w:b w:val="0"/>
          <w:color w:val="3A4A28"/>
          <w:sz w:val="20"/>
        </w:rPr>
        <w:t>Post-office-exit portfolio is now concentrated in industrial (64%) and essential retail, positioning WPC to benefit from logistics demand driven by e-commerce and nearshoring trends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GAAP payout ratio of 171.6% and $8.9B total debt make WPC vulnerable to sustained higher interest rates that could compress spreads on new acquisitions and increase refinancing costs</w:t>
      </w:r>
    </w:p>
    <w:p>
      <w:pPr>
        <w:spacing w:before="40" w:after="40"/>
        <w:ind w:left="283"/>
      </w:pPr>
      <w:r>
        <w:rPr>
          <w:rFonts w:ascii="Calibri" w:hAnsi="Calibri"/>
          <w:b/>
          <w:color w:val="4A6B25"/>
          <w:sz w:val="20"/>
        </w:rPr>
        <w:t xml:space="preserve">2. </w:t>
      </w:r>
      <w:r>
        <w:rPr>
          <w:rFonts w:ascii="Calibri" w:hAnsi="Calibri"/>
          <w:b w:val="0"/>
          <w:color w:val="3A4A28"/>
          <w:sz w:val="20"/>
        </w:rPr>
        <w:t>European exposure (~35% of ABR) introduces currency risk and geopolitical uncertainty from ongoing EU economic weakness and potential trade disruptions</w:t>
      </w:r>
    </w:p>
    <w:p>
      <w:pPr>
        <w:spacing w:before="40" w:after="40"/>
        <w:ind w:left="283"/>
      </w:pPr>
      <w:r>
        <w:rPr>
          <w:rFonts w:ascii="Calibri" w:hAnsi="Calibri"/>
          <w:b/>
          <w:color w:val="4A6B25"/>
          <w:sz w:val="20"/>
        </w:rPr>
        <w:t xml:space="preserve">3. </w:t>
      </w:r>
      <w:r>
        <w:rPr>
          <w:rFonts w:ascii="Calibri" w:hAnsi="Calibri"/>
          <w:b w:val="0"/>
          <w:color w:val="3A4A28"/>
          <w:sz w:val="20"/>
        </w:rPr>
        <w:t>The 2023 dividend reset destroyed WPC's decades-long dividend growth track record, and rebuilding credibility with income-focused investors will require multiple years of consecutive increases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WPC's core business — owning and leasing operationally critical physical real estate (warehouses, industrial facilities, retail locations) under long-term triple-net leases — is structurally immune to AI disruption. AI cannot replace physical buildings, and WPC's industrial portfolio may actually benefit from increased demand for logistics and distribution space driven by AI-enabled e-commerce and supply chain optimization [1][2]. The company's European diversification and sale-leaseback expertise involve relationship-driven deal sourcing that resists automation. AI Opportunity (1/1): While WPC does not generate direct AI revenue, its significant industrial and warehouse portfolio positions it to benefit from AI-driven demand for logistics infrastructure and potential data center conversions, making it an indirect AI beneficiary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 P. Carey Q1 2026 Earnings Release, April 28,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WPC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W. P. Carey Inc. corporate website and Glassdoor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W. P. Carey 2024 Corporate Responsibility Report,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