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WRB</w:t>
      </w:r>
      <w:r>
        <w:rPr>
          <w:rFonts w:ascii="Calibri" w:hAnsi="Calibri"/>
          <w:b/>
          <w:color w:val="1A2010"/>
          <w:sz w:val="40"/>
        </w:rPr>
        <w:t xml:space="preserve">  W. R. Berkley Corporation</w:t>
      </w:r>
    </w:p>
    <w:p>
      <w:pPr>
        <w:spacing w:after="120"/>
      </w:pPr>
      <w:r>
        <w:rPr>
          <w:rFonts w:ascii="Calibri" w:hAnsi="Calibri"/>
          <w:b/>
          <w:color w:val="6E8450"/>
          <w:sz w:val="18"/>
        </w:rPr>
        <w:t>GROWTH SLEEVE · 2026-04-14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Property &amp; Casualty · NYSE · United States</w:t>
      </w:r>
    </w:p>
    <w:p>
      <w:pPr>
        <w:spacing w:after="80"/>
      </w:pPr>
      <w:r>
        <w:rPr>
          <w:rFonts w:ascii="Calibri" w:hAnsi="Calibri"/>
          <w:b w:val="0"/>
          <w:color w:val="3A4A28"/>
          <w:sz w:val="20"/>
        </w:rPr>
        <w:t>W. R. Berkley Corporation is a specialty commercial lines property and casualty insurer operating through approximately 60 decentralized operating units. Founded in 1967 by William R. Berkley, the company is known for disciplined underwriting across niche specialty segments including excess and surplus lines, professional liability, workers' compensation, and reinsurance.</w:t>
      </w:r>
    </w:p>
    <w:p>
      <w:r>
        <w:rPr>
          <w:rFonts w:ascii="Calibri" w:hAnsi="Calibri"/>
          <w:b/>
          <w:color w:val="6E8450"/>
          <w:sz w:val="18"/>
        </w:rPr>
        <w:t>8,700 Employees · https://www.berkley.com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Berkley has built a proven track record through its decentralized operating unit model, launching more than 60 specialty operating units over five decades and consistently producing sub-90 combined ratios [1]. The 2025 full year produced record gross and net premiums written ($15.1B and $12.7B), a meaningful expansion from the underwriting discipline [1]. AI Deployment (1/2): Berkley has mentioned AI exploration in underwriting and claims workflows but has not quantified AI-driven savings or shipped customer-facing AI products; deployment is nascent relative to peers [2]. Market Share (2/2): Berkley is a leading specialty lines underwriter with a strong position in excess &amp; surplus (E&amp;S) lines, a segment that has gained share industry-wide as admitted carriers exit; Berkley's specialty focus gives it category leadership in numerous niches [1]. Pipeline (0/2): No specific next-generation product launches or new segment timelines announced for 2026 — the model is organic expansion of existing operating units rather than visible pipeline milestones [1]. R&amp;D Intensity (1/1): As a specialty insurer, R&amp;D translates into underwriting IP, data analytics, and claim systems; spending on technology is at or above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Berkley's stated purpose centers on disciplined underwriting, long-term value creation, and empowering operating unit leadership entrepreneurially — a distinctive philosophy that has been lived out through the founder's 58+ years of continuous leadership [1]. The decentralized model is the mission made structural. Community Impact (1/2): Berkley supports community giving through operating units but does not publish a high-profile company foundation with quantified impact at the scale peers do [3]. Employee Retention (1/2): Glassdoor reviews are mixed — employees cite family culture, profit sharing, and long tenures in some units, but post-CEO-transition reviews describe tightening culture under Rob Berkley Jr.; retention is average for specialty insurance [2]. Insider Buying (1/2): The Berkley family retains meaningful insider ownership signaling long-term alignment, though net insider buying in the last 12 months has been modest.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Berkley's financial profile is elite among P&amp;C insurers. 2025 produced record revenue of ~$14.7B (+11% YoY), operating income of $1.7B, and net income of $1.8B, driving ROE above the company's 15% after-tax target [1]. D/E near 35% reflects conservative leverage; combined ratio consistently below 90% demonstrates underwriting excellence. Forward P/E around 16x is reasonable for a double-digit-growing specialty insurer. Profit margin around 12% is strong for the P&amp;C category. Revenue 5yr CAGR in the low teens shows the operating unit model compounds well. Liquidity floor easily cleared: ~2M avg daily volume × $68 stock price. Management guidance for continued excellent margins and 15%+ after-tax ROE in 2026 underscores durability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Berkley exemplifies long-duration infinite-game thinking — founder-led for 58 years, decentralized operating unit model, disciplined underwriting through multiple cycles. Just Cause is genuine but not as transformative as category-defining peers; existential flexibility is modest given the model has been intentionally consistent.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commitment to empowering specialist underwriters through decentralized operating units is a distinctive and durable purpose that has guided capital allocation for five decades — a genuine cause lived out through crises and cycles [1].</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operating unit model delegates real P&amp;L authority to business leaders, creating entrepreneurial trust; Glassdoor reviews are mixed, with some citing tightening culture post-CEO transition but many praising unit-level autonomy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Berkley competes against Chubb, Travelers, Markel, and Arch with explicit references to peer underwriting discipline and combined ratios — a healthy competitive awareness that drives continuous 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Berkley has evolved via operating unit additions and specialty segment expansion rather than transformative pivots; the model has been stable by design, which limits flexibility scoring but reflects intentionality.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repeatedly walked away from underpriced business in soft markets — a clear example of sacrificing top-line for long-term capability [1]. Founder-family stewardship sustains this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 R. Berkley is a best-in-class specialty P&amp;C insurer delivering record underwriting results in a favorable rate environment. 2025 full year produced record gross and net premiums written ($15.1B and $12.7B), $1.7B operating income, and $1.8B net income, with management targeting 15%+ after-tax ROE on beginning equity for 2026 [1]. The 60-operating-unit decentralized model gives Berkley category leadership across specialty niches including E&amp;S lines, professional liability, and workers' compensation — segments gaining structural share as admitted carriers exit [1]. Net investment income is positioned for continued growth as new-money rates remain elevated and operating cash flows compound [1]. Founder-family stewardship (58+ years) provides cycle-tested underwriting discipline and long-term capital allocation.</w:t>
      </w:r>
    </w:p>
    <w:p>
      <w:pPr>
        <w:spacing w:after="120"/>
      </w:pPr>
      <w:r>
        <w:rPr>
          <w:rFonts w:ascii="Calibri" w:hAnsi="Calibri"/>
          <w:b w:val="0"/>
          <w:color w:val="3A4A28"/>
          <w:sz w:val="20"/>
        </w:rPr>
        <w:t>The bear case centers on insurance cycle risk and execution under the second-generation CEO. Specialty P&amp;C rates are moderating after multi-year hardening, and 2026 growth could compress toward the low-single-digit end of the analyst range (0.5% to 11%) if competition intensifies [1]. Glassdoor sentiment has softened under Rob Berkley Jr., with reviews citing tighter culture versus the founder era — execution on the decentralized model depends on unit-leader retention [2]. AI deployment is nascent relative to larger carriers deploying AI in underwriting and claims — Berkley must invest or risk losing edge [2]. Dividend yield of ~0.5% offers limited income support for valuation if the insurance cycle turns, and the stock trades at premium multiples that require continued underwriting outperformance.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hard market in specialty E&amp;S lines supporting rate adequacy and combined ratios below 90% [1]</w:t>
      </w:r>
    </w:p>
    <w:p>
      <w:pPr>
        <w:spacing w:before="40" w:after="40"/>
        <w:ind w:left="283"/>
      </w:pPr>
      <w:r>
        <w:rPr>
          <w:rFonts w:ascii="Calibri" w:hAnsi="Calibri"/>
          <w:b/>
          <w:color w:val="4A6B25"/>
          <w:sz w:val="20"/>
        </w:rPr>
        <w:t xml:space="preserve">2. </w:t>
      </w:r>
      <w:r>
        <w:rPr>
          <w:rFonts w:ascii="Calibri" w:hAnsi="Calibri"/>
          <w:b w:val="0"/>
          <w:color w:val="3A4A28"/>
          <w:sz w:val="20"/>
        </w:rPr>
        <w:t>Net investment income growth as new-money yields remain elevated and the $30B+ investment portfolio rolls into higher coupons [1]</w:t>
      </w:r>
    </w:p>
    <w:p>
      <w:pPr>
        <w:spacing w:before="40" w:after="40"/>
        <w:ind w:left="283"/>
      </w:pPr>
      <w:r>
        <w:rPr>
          <w:rFonts w:ascii="Calibri" w:hAnsi="Calibri"/>
          <w:b/>
          <w:color w:val="4A6B25"/>
          <w:sz w:val="20"/>
        </w:rPr>
        <w:t xml:space="preserve">3. </w:t>
      </w:r>
      <w:r>
        <w:rPr>
          <w:rFonts w:ascii="Calibri" w:hAnsi="Calibri"/>
          <w:b w:val="0"/>
          <w:color w:val="3A4A28"/>
          <w:sz w:val="20"/>
        </w:rPr>
        <w:t>2026 after-tax ROE target of 15%+ validating the founder-family capital allocation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P&amp;C rate moderation as admitted carriers re-enter niches, compressing underwriting margins [1]</w:t>
      </w:r>
    </w:p>
    <w:p>
      <w:pPr>
        <w:spacing w:before="40" w:after="40"/>
        <w:ind w:left="283"/>
      </w:pPr>
      <w:r>
        <w:rPr>
          <w:rFonts w:ascii="Calibri" w:hAnsi="Calibri"/>
          <w:b/>
          <w:color w:val="4A6B25"/>
          <w:sz w:val="20"/>
        </w:rPr>
        <w:t xml:space="preserve">2. </w:t>
      </w:r>
      <w:r>
        <w:rPr>
          <w:rFonts w:ascii="Calibri" w:hAnsi="Calibri"/>
          <w:b w:val="0"/>
          <w:color w:val="3A4A28"/>
          <w:sz w:val="20"/>
        </w:rPr>
        <w:t>Culture execution risk under second-generation CEO — operating-unit model depends on decentralized leadership retention [2]</w:t>
      </w:r>
    </w:p>
    <w:p>
      <w:pPr>
        <w:spacing w:before="40" w:after="40"/>
        <w:ind w:left="283"/>
      </w:pPr>
      <w:r>
        <w:rPr>
          <w:rFonts w:ascii="Calibri" w:hAnsi="Calibri"/>
          <w:b/>
          <w:color w:val="4A6B25"/>
          <w:sz w:val="20"/>
        </w:rPr>
        <w:t xml:space="preserve">3. </w:t>
      </w:r>
      <w:r>
        <w:rPr>
          <w:rFonts w:ascii="Calibri" w:hAnsi="Calibri"/>
          <w:b w:val="0"/>
          <w:color w:val="3A4A28"/>
          <w:sz w:val="20"/>
        </w:rPr>
        <w:t>AI deployment lag versus larger carriers could erode the underwriting data advantage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Specialty commercial insurance is structurally protected from AI substitution — underwriting excess and surplus lines requires regulated capital, local licensing, claims infrastructure, and bespoke risk judgment that AI cannot displace. AI may modestly improve commoditized personal lines pricing but specialty E&amp;S is Berkley's core and is defensible. Analysts are not warning of AI disruption risk to Berkley's book [2]. AI Opportunity (0/1): Berkley has not disclosed quantifiable AI-driven revenue or material AI-product monetization; AI remains an internal efficiency lever rather than a distinct revenue contributor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 R. Berkley 2025 Full Year Results — record premiums, $1.7B operating income, $1.8B net income, January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 Comparably W. R. Berkley employee reviews and culture assessment, 2025-2026</w:t>
      </w:r>
    </w:p>
    <w:p>
      <w:pPr>
        <w:spacing w:before="20" w:after="20"/>
        <w:ind w:left="170"/>
      </w:pPr>
      <w:r>
        <w:rPr>
          <w:rFonts w:ascii="Calibri" w:hAnsi="Calibri"/>
          <w:b/>
          <w:color w:val="4A6B25"/>
          <w:sz w:val="15"/>
        </w:rPr>
        <w:t xml:space="preserve">3. </w:t>
      </w:r>
      <w:r>
        <w:rPr>
          <w:rFonts w:ascii="Calibri" w:hAnsi="Calibri"/>
          <w:b w:val="0"/>
          <w:color w:val="3A4A28"/>
          <w:sz w:val="17"/>
        </w:rPr>
        <w:t>CSRHub / Yahoo Finance W. R. Berkley ESG ratings and sustainability data,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