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WSM</w:t>
      </w:r>
      <w:r>
        <w:rPr>
          <w:rFonts w:ascii="Calibri" w:hAnsi="Calibri"/>
          <w:b/>
          <w:color w:val="1A2010"/>
          <w:sz w:val="40"/>
        </w:rPr>
        <w:t xml:space="preserve">  Williams-Sonoma, Inc.</w:t>
      </w:r>
    </w:p>
    <w:p>
      <w:pPr>
        <w:spacing w:after="120"/>
      </w:pPr>
      <w:r>
        <w:rPr>
          <w:rFonts w:ascii="Calibri" w:hAnsi="Calibri"/>
          <w:b/>
          <w:color w:val="6E8450"/>
          <w:sz w:val="18"/>
        </w:rPr>
        <w:t>GROWTH SLEEVE · 2026-05-02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Williams-Sonoma, Inc. operates as an omni-channel specialty retailer of home products in the United States and internationally, including Pottery Barn, West Elm, Williams Sonoma, and Rejuvenation brands offering cooking, dining, entertaining, and home furnishing products through e-commerce, retail stores, and direct-mail catalogs.</w:t>
      </w:r>
    </w:p>
    <w:p>
      <w:r>
        <w:rPr>
          <w:rFonts w:ascii="Calibri" w:hAnsi="Calibri"/>
          <w:b/>
          <w:color w:val="6E8450"/>
          <w:sz w:val="18"/>
        </w:rPr>
        <w:t>19,800 Employees · https://www.williams-sonomainc.com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WSM expanded its B2B division and opened 20 new stores with 19 repositions in FY2026, but no transformative business model shift in five years [1]. AI Deployment (2/2): Actively deploying AI across customer experience personalization, supply chain optimization, and internal operations with measurable headcount savings; CEO Alber declared intent to be an industry AI leader [4][5]. Market Share Leadership (1/2): Strong position in premium home furnishings with flagship Williams Sonoma brand growing 6.9%, but Pottery Barn lagged at 0.4% comp and faces pressure from RH and Wayfair [1]. Product Pipeline (1/2): 39 store openings/repositions planned for FY2026 but no named next-generation platform. R&amp;D Intensity (0/1): Retail sector with no formal R&amp;D disclosure.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WSM's purpose of 'enhancing the quality of life at home' is clear and relevant but not distinctive — interchangeable with most premium home goods retailers. Community Impact (1/2): Science-Based Targets for emissions, $10M in Fair Trade Premiums, and $50M committed to Nest Certified products demonstrate meaningful social investment [6]. Employee Retention (1/2): CEO approval at 62% on Glassdoor and executive team rated in bottom 15% on Comparably suggest adequate but uninspiring culture; innovation reportedly 'stifled by lack of resources' [4]. Insider Buying (1/2): Limited recent insider transaction data; no evidence of significant net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Exceptional D/E of 70% at target and ROE of 51.5% reflecting capital-light asset model [2]. Forward P/E of 17.7 below 20 target earns full marks. Weaknesses include revenue growth YoY at -4.3% (scores 0.52) and profit margin of 13.9% below 20% target (scores 0.70). PEG of 2.44 is expensive relative to growth rate (scores 0.28). Liquidity passes easily at $213M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Williams-Sonoma demonstrates long-term orientation through Laura Alber's 14-year CEO tenure and consistent brand stewardship over 70+ years of operation, but recent strategic emphasis on margin optimization, headcount reduction via AI, and quarterly EPS records reveals finite-game tendencies beneath the surface.</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WSM's purpose of 'enhancing life at home' is genuine but does not constitute a Just Cause in Sinek's framework — it doesn't describe a future state that doesn't yet exist or inspire sacrifice. The company's strategic emphasis on record EPS ($8.84), operating margins (18.1%), and shareholder returns suggests the actual organizing principle is financial performance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CEO approval at 62% on Glassdoor is below peer average, executive team rated bottom 15% on Comparably, and reviews cite innovation 'stifled by lack of resources and follow through by leadership' [4]. The explicit goal of using AI to 'curb headcount growth' signals efficiency-first culture rather than a Circle of Safety orientation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WSM competes against RH, Wayfair, and IKEA by doubling down on design differentiation and multi-brand portfolio breadth rather than pure price warfare. Management discusses competitive positioning in terms of unique design IP and proprietary content, suggesting learning from rivals' D2C strengths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WSM has evolved incrementally — growing e-commerce to 66% of revenue, expanding B2B services, launching design services — but has not made a transformative strategic pivot. The core business model of multi-brand premium home retail remains fundamentally unchanged from a decade ago. AI integration is operational efficiency, not reinvention [4][5].</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Laura Alber maintained margin discipline during industry downturns and resisted heavy promotional activity that pressured peers, showing some willingness to sacrifice short-term revenue for brand integrity. Being among the first retailers to set Science-Based emissions targets demonstrates principled investment [6]. However, primary emphasis remains operational efficiency over bold long-term capability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Williams-Sonoma is a best-in-class specialty retailer with exceptional capital efficiency (51.5% ROE, 18.1% operating margin) and a proven multi-brand platform generating consistent cash flow. The company's AI-enhanced operations and FY2026 guidance of 2-6% comparable brand revenue growth with stable margins position it for steady earnings compounding [1].</w:t>
      </w:r>
    </w:p>
    <w:p>
      <w:pPr>
        <w:spacing w:after="120"/>
      </w:pPr>
      <w:r>
        <w:rPr>
          <w:rFonts w:ascii="Calibri" w:hAnsi="Calibri"/>
          <w:b w:val="0"/>
          <w:color w:val="3A4A28"/>
          <w:sz w:val="20"/>
        </w:rPr>
        <w:t>The primary risk is macro sensitivity — housing market weakness and consumer discretionary pullbacks disproportionately impact premium home goods, as evidenced by FY2025's 4.3% revenue decline. At 17.7x forward earnings with a PEG of 2.44, WSM offers limited margin of safety if growth disappoints. Pottery Barn's 0.4% comp growth signals the largest brand needs reinvigoration to sustain the portfolio's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for 2-6% comp growth with 17.5-18.1% operating margins signals return to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AI deployment across operations driving incremental margin expansion through headcount efficiency and personalization [4][5]</w:t>
      </w:r>
    </w:p>
    <w:p>
      <w:pPr>
        <w:spacing w:before="40" w:after="40"/>
        <w:ind w:left="283"/>
      </w:pPr>
      <w:r>
        <w:rPr>
          <w:rFonts w:ascii="Calibri" w:hAnsi="Calibri"/>
          <w:b/>
          <w:color w:val="4A6B25"/>
          <w:sz w:val="20"/>
        </w:rPr>
        <w:t xml:space="preserve">3. </w:t>
      </w:r>
      <w:r>
        <w:rPr>
          <w:rFonts w:ascii="Calibri" w:hAnsi="Calibri"/>
          <w:b w:val="0"/>
          <w:color w:val="3A4A28"/>
          <w:sz w:val="20"/>
        </w:rPr>
        <w:t>39 store openings and repositions in FY2026 refresh physical footprint and capture underserved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slowdown and consumer discretionary weakness could compress top-line below guidance range</w:t>
      </w:r>
    </w:p>
    <w:p>
      <w:pPr>
        <w:spacing w:before="40" w:after="40"/>
        <w:ind w:left="283"/>
      </w:pPr>
      <w:r>
        <w:rPr>
          <w:rFonts w:ascii="Calibri" w:hAnsi="Calibri"/>
          <w:b/>
          <w:color w:val="4A6B25"/>
          <w:sz w:val="20"/>
        </w:rPr>
        <w:t xml:space="preserve">2. </w:t>
      </w:r>
      <w:r>
        <w:rPr>
          <w:rFonts w:ascii="Calibri" w:hAnsi="Calibri"/>
          <w:b w:val="0"/>
          <w:color w:val="3A4A28"/>
          <w:sz w:val="20"/>
        </w:rPr>
        <w:t>Premium valuation (PEG 2.44) leaves limited upside if growth disappoints; stock trading 5% below 50-day SMA signals momentum concerns</w:t>
      </w:r>
    </w:p>
    <w:p>
      <w:pPr>
        <w:spacing w:before="40" w:after="40"/>
        <w:ind w:left="283"/>
      </w:pPr>
      <w:r>
        <w:rPr>
          <w:rFonts w:ascii="Calibri" w:hAnsi="Calibri"/>
          <w:b/>
          <w:color w:val="4A6B25"/>
          <w:sz w:val="20"/>
        </w:rPr>
        <w:t xml:space="preserve">3. </w:t>
      </w:r>
      <w:r>
        <w:rPr>
          <w:rFonts w:ascii="Calibri" w:hAnsi="Calibri"/>
          <w:b w:val="0"/>
          <w:color w:val="3A4A28"/>
          <w:sz w:val="20"/>
        </w:rPr>
        <w:t>Rising tariffs on imported goods could pressure margins given significant international sourcing across brands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WSM's core business involves physical product design, proprietary manufacturing relationships, brand-driven consumer preference, and omnichannel retail — elements AI cannot easily replicate or disintermediate [4]. Moderate exposure exists as AI-powered shopping assistants and generative design tools could reduce differentiation in home furnishings over time. Management explicitly views AI as an enabler, deploying it to curb headcount growth and optimize supply chain [5]. AI Opportunity (1/1): WSM generates measurable value from AI deployment across customer personalization, call center automation, and operational efficiency — quantifiable savings cited by management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Williams-Sonoma Q4 FY2025 Earnings Release, March 2026 — net revenues $7.8B, comp brand revenue +3.5%, operating margin 18.1%, record EPS $8.84</w:t>
      </w:r>
    </w:p>
    <w:p>
      <w:pPr>
        <w:spacing w:before="20" w:after="20"/>
        <w:ind w:left="170"/>
      </w:pPr>
      <w:r>
        <w:rPr>
          <w:rFonts w:ascii="Calibri" w:hAnsi="Calibri"/>
          <w:b/>
          <w:color w:val="4A6B25"/>
          <w:sz w:val="15"/>
        </w:rPr>
        <w:t xml:space="preserve">2. </w:t>
      </w:r>
      <w:r>
        <w:rPr>
          <w:rFonts w:ascii="Calibri" w:hAnsi="Calibri"/>
          <w:b w:val="0"/>
          <w:color w:val="3A4A28"/>
          <w:sz w:val="17"/>
        </w:rPr>
        <w:t>Yahoo Finance — WSM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Williams-Sonoma Q1 FY2026 Earnings Report, May 2026</w:t>
      </w:r>
    </w:p>
    <w:p>
      <w:pPr>
        <w:spacing w:before="20" w:after="20"/>
        <w:ind w:left="170"/>
      </w:pPr>
      <w:r>
        <w:rPr>
          <w:rFonts w:ascii="Calibri" w:hAnsi="Calibri"/>
          <w:b/>
          <w:color w:val="4A6B25"/>
          <w:sz w:val="15"/>
        </w:rPr>
        <w:t xml:space="preserve">4. </w:t>
      </w:r>
      <w:r>
        <w:rPr>
          <w:rFonts w:ascii="Calibri" w:hAnsi="Calibri"/>
          <w:b w:val="0"/>
          <w:color w:val="3A4A28"/>
          <w:sz w:val="17"/>
        </w:rPr>
        <w:t>Diginomica — 'How retailer Williams-Sonoma approaches AI as an amplifier with a data-first foundation', 2025</w:t>
      </w:r>
    </w:p>
    <w:p>
      <w:pPr>
        <w:spacing w:before="20" w:after="20"/>
        <w:ind w:left="170"/>
      </w:pPr>
      <w:r>
        <w:rPr>
          <w:rFonts w:ascii="Calibri" w:hAnsi="Calibri"/>
          <w:b/>
          <w:color w:val="4A6B25"/>
          <w:sz w:val="15"/>
        </w:rPr>
        <w:t xml:space="preserve">5. </w:t>
      </w:r>
      <w:r>
        <w:rPr>
          <w:rFonts w:ascii="Calibri" w:hAnsi="Calibri"/>
          <w:b w:val="0"/>
          <w:color w:val="3A4A28"/>
          <w:sz w:val="17"/>
        </w:rPr>
        <w:t>CIO Dive — 'Williams-Sonoma turns to AI to curb headcount growth', 2025</w:t>
      </w:r>
    </w:p>
    <w:p>
      <w:pPr>
        <w:spacing w:before="20" w:after="20"/>
        <w:ind w:left="170"/>
      </w:pPr>
      <w:r>
        <w:rPr>
          <w:rFonts w:ascii="Calibri" w:hAnsi="Calibri"/>
          <w:b/>
          <w:color w:val="4A6B25"/>
          <w:sz w:val="15"/>
        </w:rPr>
        <w:t xml:space="preserve">6. </w:t>
      </w:r>
      <w:r>
        <w:rPr>
          <w:rFonts w:ascii="Calibri" w:hAnsi="Calibri"/>
          <w:b w:val="0"/>
          <w:color w:val="3A4A28"/>
          <w:sz w:val="17"/>
        </w:rPr>
        <w:t>Williams-Sonoma Corporate Responsibility &amp; Impact Reports — Science-Based Targets, Fair Trade Premiums, Nest Certified commitment, 2022-2025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