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WTTR</w:t>
      </w:r>
      <w:r>
        <w:rPr>
          <w:rFonts w:ascii="Calibri" w:hAnsi="Calibri"/>
          <w:b/>
          <w:color w:val="1A2010"/>
          <w:sz w:val="40"/>
        </w:rPr>
        <w:t xml:space="preserve">  Select Water Solutions, Inc.</w:t>
      </w:r>
    </w:p>
    <w:p>
      <w:pPr>
        <w:spacing w:after="120"/>
      </w:pPr>
      <w:r>
        <w:rPr>
          <w:rFonts w:ascii="Calibri" w:hAnsi="Calibri"/>
          <w:b/>
          <w:color w:val="6E8450"/>
          <w:sz w:val="18"/>
        </w:rPr>
        <w:t>GROWTH SLEEVE · 2026-04-29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Select Water Solutions, Inc. provides water management solutions to the energy industry through three segments: Water Infrastructure (pipelines, recycling, disposal), Water Services (transfer, containment, monitoring), and Chemical Technologies (fracturing chemicals, production chemicals).</w:t>
      </w:r>
    </w:p>
    <w:p>
      <w:r>
        <w:rPr>
          <w:rFonts w:ascii="Calibri" w:hAnsi="Calibri"/>
          <w:b/>
          <w:color w:val="6E8450"/>
          <w:sz w:val="18"/>
        </w:rPr>
        <w:t>3,300 Employees · https://www.selectwater.com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2023 rebrand from Select Energy Services to Select Water Solutions reflects a strategic shift to position the company as a water-focused rather than oilfield-services business, a meaningful but incremental pivot [1]. AI Deployment (1/2): FluidMatch technology and AquaView automation platform represent early-stage deployment of AI and data analytics for water chemistry optimization and remote monitoring, though no specific revenue or savings figures are disclosed [3]. Market Share Leadership (1/2): Select is a meaningful player in Permian Basin water management with $1.4B revenue, but not the category leader in a fragmented oilfield water market. Product Pipeline (1/2): Water Infrastructure segment has specific growth projects under construction with 20-25% revenue growth targeted for 2026 [1]. R&amp;D Intensity (1/1): R&amp;D investment in FluidMatch, AquaView, and water recycling technologies appears above average for oilfield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John Schmitz's message frames Select's purpose around 'responsible water management for the energy industry' and environmental stewardship — clear and connects operations to a larger purpose, but not transformative [2]. Community Impact (1/2): The company's 2024 Sustainability Report cites treating/recycling 477M barrels (20B gallons) of produced water, an 8% reduction in Scope 1 &amp; 2 emissions, and active community safety programs, though specific charitable dollar amounts are not disclosed [5]. Employee Retention (1/2): The 'This Is Why I Work Safe' campaign and founder-led culture under Chairman/CEO Schmitz (recognized as Houston's Most Admired CEO) suggest adequate employee engagement, but no specific retention or tenure data available [3]. Insider Buying (1/2): Schmitz as founder-CEO maintains significant ownership, suggesting alignment, but specific recent insider buying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1.85M avg volume x $16.52 = $30.6M daily liquidity [4]. Calculated mechanically: D/E of 38.2% scores 1.0 (1x), ROE of 2.33% scores 0.155 (2x), revenue growth YoY of -0.7% scores 0.643 (1x), Forward P/E of 29.7 scores 0.758 (1x), profit margin of 1.51% scores 0.075 (1x) [4]. The strong balance sheet (low D/E of 38%) is offset by very thin profit margins and weak ROE. The company guides Water Infrastructure revenue growth of 20-25% in 2026 and expects record adjusted EBITDA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Select Water Solutions demonstrates solid infinite-game characteristics for an oilfield services company. Founder-CEO John Schmitz has led the company since its 2008 founding, providing leadership continuity. The strategic pivot from 'Select Energy' to 'Select Water' and heavy investment in permanent water infrastructure (over trucks) shows genuine long-term thinking, though the company remains tied to the cyclical oil and gas industry.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 7/10): Select's cause — responsible water management for the energy industry — is genuine and distinctive. The 2023 rebrand from Select Energy Services to Select Water Solutions deliberately repositioned the company around its Just Cause, and strategic capital allocation consistently favors permanent water infrastructure over short-cycle truck services [1][2]. Leadership references this purpose in capital allocation decisions. However, the cause hasn't been tested through a major oil downturn since the rebrand.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Founder-CEO Schmitz has been with the company since inception in 2008, providing leadership stability [3]. The 'This Is Why I Work Safe' campaign personalizes safety culture rather than imposing top-down mandates, suggesting some trust-building effort. However, no specific retention data or employee satisfaction metrics are available, and oilfield services is a high-turnover industry by nature.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Select's competitive language focuses on building superior infrastructure and technology capabilities rather than defeating specific competitors. The company frames its differentiation through innovation (FluidMatch, AquaView) and infrastructure investment rather than market share capture language, suggesting an improvement-oriented competitive mindset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The 2023 rebrand from Select Energy Services to Select Water Solutions represents a meaningful strategic shift — redefining the company around water management rather than general oilfield services. The ongoing pivot from water services (truck-based, variable) to water infrastructure (pipeline-based, recurring) shows willingness to evolve the business model [1]. However, the transformation is incremental rather than transformative — the company still serves the same customers in the same basins.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Select is investing $175-225M in CapEx in 2026, heavily weighted toward long-term water infrastructure projects, despite thin current margins (1.51% net profit) [1]. This willingness to invest in permanent infrastructure while profits are compressed shows some courage to prioritize long-term capability. CEO Schmitz's recognition as 'Houston's Most Admired CEO' suggests leadership respect in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 Water Solutions occupies a structurally advantaged position in oilfield water management — the fastest-growing cost center for E&amp;P companies, with water volumes per well increasing annually. The company's strategic pivot to permanent Water Infrastructure (pipelines, recycling facilities) from variable Water Services (trucking) creates higher-margin, recurring revenue, with the Infrastructure segment guided for 20-25% revenue growth in 2026 [1]. A strong balance sheet with D/E of just 38.2%, founder-CEO leadership since 2008, and $260M adjusted EBITDA in FY2025 provide a solid foundation for the transition to higher-quality earnings.</w:t>
      </w:r>
    </w:p>
    <w:p>
      <w:pPr>
        <w:spacing w:after="120"/>
      </w:pPr>
      <w:r>
        <w:rPr>
          <w:rFonts w:ascii="Calibri" w:hAnsi="Calibri"/>
          <w:b w:val="0"/>
          <w:color w:val="3A4A28"/>
          <w:sz w:val="20"/>
        </w:rPr>
        <w:t>The bear case centers on the energy cycle dependency: despite the 'water' rebrand, ~100% of revenue comes from oil and gas producers, and a sustained decline in drilling activity would compress all three segments [4]. Net profit margin of just 1.51% and ROE of 2.33% indicate the company is not yet earning its cost of capital, and the trailing P/E of 78.7x suggests the market is pricing in significant forward earnings improvement that may not materialize if oil prices weaken. The $175-225M CapEx commitment in 2026 represents meaningful capital risk on infrastructure projects with multi-year payback periods, and the dividend payout ratio of 133% (dividends exceeding net income) is unsustainable without EBITDA-based cash flow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Infrastructure segment revenue growth of 20-25% in 2026 from pipeline projects already under construction, driving record consolidated adjusted EBITDA margins</w:t>
      </w:r>
    </w:p>
    <w:p>
      <w:pPr>
        <w:spacing w:before="40" w:after="40"/>
        <w:ind w:left="283"/>
      </w:pPr>
      <w:r>
        <w:rPr>
          <w:rFonts w:ascii="Calibri" w:hAnsi="Calibri"/>
          <w:b/>
          <w:color w:val="4A6B25"/>
          <w:sz w:val="20"/>
        </w:rPr>
        <w:t xml:space="preserve">2. </w:t>
      </w:r>
      <w:r>
        <w:rPr>
          <w:rFonts w:ascii="Calibri" w:hAnsi="Calibri"/>
          <w:b w:val="0"/>
          <w:color w:val="3A4A28"/>
          <w:sz w:val="20"/>
        </w:rPr>
        <w:t>Increasing water volumes per well completion (secular trend) and Permian Basin operator consolidation creating larger, longer-term water management contracts</w:t>
      </w:r>
    </w:p>
    <w:p>
      <w:pPr>
        <w:spacing w:before="40" w:after="40"/>
        <w:ind w:left="283"/>
      </w:pPr>
      <w:r>
        <w:rPr>
          <w:rFonts w:ascii="Calibri" w:hAnsi="Calibri"/>
          <w:b/>
          <w:color w:val="4A6B25"/>
          <w:sz w:val="20"/>
        </w:rPr>
        <w:t xml:space="preserve">3. </w:t>
      </w:r>
      <w:r>
        <w:rPr>
          <w:rFonts w:ascii="Calibri" w:hAnsi="Calibri"/>
          <w:b w:val="0"/>
          <w:color w:val="3A4A28"/>
          <w:sz w:val="20"/>
        </w:rPr>
        <w:t>FluidMatch and AquaView technology deployment improving chemical optimization and remote monitoring efficiency, driving margin expansion in the Chemical Technologies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Near-total revenue dependency on oil and gas producers means a sustained oil price decline below $60/bbl would compress drilling activity and water management demand across all three segments</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1.51% and dividend payout ratio of 133% suggest the company is distributing more than it earns, creating risk of a dividend cut if cash flow generation disappoints</w:t>
      </w:r>
    </w:p>
    <w:p>
      <w:pPr>
        <w:spacing w:before="40" w:after="40"/>
        <w:ind w:left="283"/>
      </w:pPr>
      <w:r>
        <w:rPr>
          <w:rFonts w:ascii="Calibri" w:hAnsi="Calibri"/>
          <w:b/>
          <w:color w:val="4A6B25"/>
          <w:sz w:val="20"/>
        </w:rPr>
        <w:t xml:space="preserve">3. </w:t>
      </w:r>
      <w:r>
        <w:rPr>
          <w:rFonts w:ascii="Calibri" w:hAnsi="Calibri"/>
          <w:b w:val="0"/>
          <w:color w:val="3A4A28"/>
          <w:sz w:val="20"/>
        </w:rPr>
        <w:t>Multi-year infrastructure CapEx commitments of $175-225M annually create capital risk if contracted water volumes underperform due to producer bankruptcies or basin-level activity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Select Water Solutions operates in the physical world — managing water pipelines, recycling facilities, disposal wells, chemical logistics, and on-site water transfer services for oil and gas producers [1]. AI cannot replace the physical infrastructure of water pipelines, storage, and treatment facilities, nor the hands-on chemical application and monitoring work. As AI-driven drilling optimization increases well completions and water volumes, demand for water management services actually grows. The business is structurally protected from AI substitution. AI Opportunity (1/1): FluidMatch technology uses real-time water chemistry data analytics to optimize chemical treatments, and AquaView provides automated remote monitoring — both represent early AI-driven revenue enablement in water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 Water Solutions Q4 and Full Year 2025 earnings release — $1.4B revenue, $260M adjusted EBITDA, 2026 Water Infrastructure growth guidance of 20-25%, February 2026</w:t>
      </w:r>
    </w:p>
    <w:p>
      <w:pPr>
        <w:spacing w:before="20" w:after="20"/>
        <w:ind w:left="170"/>
      </w:pPr>
      <w:r>
        <w:rPr>
          <w:rFonts w:ascii="Calibri" w:hAnsi="Calibri"/>
          <w:b/>
          <w:color w:val="4A6B25"/>
          <w:sz w:val="15"/>
        </w:rPr>
        <w:t xml:space="preserve">2. </w:t>
      </w:r>
      <w:r>
        <w:rPr>
          <w:rFonts w:ascii="Calibri" w:hAnsi="Calibri"/>
          <w:b w:val="0"/>
          <w:color w:val="3A4A28"/>
          <w:sz w:val="17"/>
        </w:rPr>
        <w:t>Select Water Solutions corporate website — CEO message on sustainability, company mission,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Select Water Solutions executive team and technology pages — FluidMatch, AquaView, safety culture, CEO John Schmitz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WTTR key statistics, price $16.52, market cap $2.3B,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Select Water Solutions 2024 Sustainability Report — 477M barrels treated/recycled, 8% Scope 1 &amp; 2 emission reduction,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