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WT</w:t>
      </w:r>
      <w:r>
        <w:rPr>
          <w:rFonts w:ascii="Calibri" w:hAnsi="Calibri"/>
          <w:b/>
          <w:color w:val="1A2010"/>
          <w:sz w:val="40"/>
        </w:rPr>
        <w:t xml:space="preserve">  WisdomTree, Inc.</w:t>
      </w:r>
    </w:p>
    <w:p>
      <w:pPr>
        <w:spacing w:after="120"/>
      </w:pPr>
      <w:r>
        <w:rPr>
          <w:rFonts w:ascii="Calibri" w:hAnsi="Calibri"/>
          <w:b/>
          <w:color w:val="6E8450"/>
          <w:sz w:val="18"/>
        </w:rPr>
        <w:t>GROWTH SLEEVE · 2026-04-07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WisdomTree is an exchange-traded fund sponsor and asset manager with approximately $160 billion in global AUM. The company pioneered fundamentally weighted indexing and has expanded into digital assets and blockchain-based tokenization through WisdomTree Connect. It offers ETFs across equities, fixed income, currency, alternatives, and crypto asset classes, and provides investment advisory services and index licensing.</w:t>
      </w:r>
    </w:p>
    <w:p>
      <w:r>
        <w:rPr>
          <w:rFonts w:ascii="Calibri" w:hAnsi="Calibri"/>
          <w:b/>
          <w:color w:val="6E8450"/>
          <w:sz w:val="18"/>
        </w:rPr>
        <w:t>360 Employees · https://www.wisdomtree.com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WisdomTree has successfully pivoted from a pure ETF provider to a hybrid asset management and digital infrastructure company. Revenue grew 33.2% YoY to $493.8M in 2025, with AUM surging from $92B to $160B+ through organic growth and the Ceres acquisition [1]. The tokenization strategy has scaled from $30M to $750M in tokenized assets, validating the blockchain pivot [2]. AI Deployment (1/2): WisdomTree has not shipped AI-powered products directly, but CEO Steinberg frames blockchain and tokenization as the infrastructure layer upon which AI-driven financial services will be built. The WisdomTree Connect platform leverages technology innovation but is not explicitly AI-driven [2]. Market Share (2/2): WisdomTree is a category leader in fundamentally weighted ETFs and among the first movers in regulated tokenized fund products, expanding to Solana and multiple blockchains [2]. The firm manages $160B AUM, up 74% in two years. Pipeline (1/2): Clear pipeline including WisdomTree Connect expansion to new blockchains, growing tokenized asset base, and 14% annualized organic growth rate through February 2026 [1]. R&amp;D Intensity (1/1): Significant investment in blockchain and tokenization infrastructure relative to peers — most asset managers of WisdomTree's size are not building proprietary blockchain platforms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Jonathan Steinberg's vision — 'eventually everything will go on chain' — articulates a genuine belief in democratizing finance through blockchain infrastructure [2]. This is specific, forward-looking, and differentiates WisdomTree from peers. It has shaped strategic decisions (tokenization investment, crypto as core business) and reflects intentionality. Community Impact (1/2): Named Best Place to Work in Money Management by Pensions &amp; Investments for six consecutive years, with 360 employees in a lean, high-impact organization [2]. No specific charitable programs or community investment data available. Employee Retention (2/2): Six consecutive years as a Best Place to Work award winner provides strong evidence of employee satisfaction and retention [2]. Steinberg's 30+ year tenure as CEO demonstrates leadership continuity unprecedented in asset management. Insider Buying (1/2): Steinberg has significant equity exposure as founder-CEO, aligning incentives. No specific recent open-market purchases reported, but founder ownership provides structural alignment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WisdomTree's financial profile is exceptional among mid-cap asset managers. Revenue grew 33.2% YoY to $493.8M with a 22.1% profit margin and 26.8% ROE [4]. Forward P/E of 12.4x is highly attractive for a company growing revenue at 33% with 17.9% three-year CAGR [1]. Operating margins of 40.7% demonstrate the scalable nature of the asset management model. D/E of 231.2% reflects the leveraged balance sheet typical of financial services firms ($956M debt, $419M cash), but operating cash flow of $148M and free cash flow of $120M demonstrate strong cash generation [4]. The compensation-to-revenue ratio guidance of 26-28% for 2026 implies improving operating leverage. Liquidity floor cleared: 3.9M avg volume × $14.94 = $58.5M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WisdomTree under founder-CEO Jonathan Steinberg plays a notably long game for asset management. The 30+ year CEO tenure, multi-year blockchain bet that is now reaching profitability, and willingness to invest in tokenization before the market demanded it all reflect infinite game thinking. The 'CEO of the Year' recognition and six consecutive Best Place to Work awards validate the organizational culture.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Steinberg's vision that 'eventually everything will go on chain' represents a genuine belief in transforming financial infrastructure through tokenization and blockchain [2]. This Just Cause has been partially validated — WisdomTree invested in blockchain years before it was fashionable, and the tokenized assets business has grown from $30M to $750M. The cause connects the company's work to a larger purpose of financial democratization. Score: 2/3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Six consecutive years as Pensions &amp; Investments Best Place to Work in Money Management is exceptional evidence of a high-trust organization [2]. With only 360 employees generating $494M in revenue, WisdomTree runs a lean, high-productivity team where individual contributions matter. Steinberg's 30+ year tenure as CEO creates organizational stability that few asset managers can match. Score: 2/2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Steinberg explicitly acknowledges BlackRock's scale and iShares' dominance while positioning WisdomTree's differentiation through fundamentally weighted indexes and tokenization [2]. The company's approach to competition focuses on building capabilities (blockchain, tokenization) that established players haven't prioritized, rather than trying to beat BlackRock at AUM accumulation. Score: 1/1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WisdomTree has evolved from a pure fundamentally-weighted ETF provider to a digital assets and tokenization infrastructure company [2]. The blockchain pivot is a meaningful strategic shift, though the core ETF business remains the revenue driver. Steinberg's statement that crypto is 'no longer an experiment' but 'core to the firm's strategy' represents genuine existential flexibility.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Steinberg invested in blockchain and tokenization years before the market validated the strategy, absorbing costs and skepticism from investors who wanted near-term earnings [2]. The decision to make crypto a core business while most asset managers treated it as peripheral demonstrates conviction. However, WisdomTree also paid a $4M SEC fine for ESG fund greenwashing, raising questions about governance rigor in certain areas [3].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WisdomTree is a high-growth asset manager trading at an attractive 12.4x forward P/E despite 33.2% revenue growth and 58.1% earnings growth in 2025 [1][4]. AUM has surged to $160B+ (up 74% in two years) driven by 14% annualized organic growth and the Ceres acquisition. The tokenization business ($750M in tokenized assets, approaching profitability) positions WisdomTree at the intersection of traditional asset management and blockchain infrastructure — a differentiated strategy that most competitors have not pursued [2]. Operating margins of 40.7% with improving compensation-to-revenue ratios (26-28% guidance for 2026) demonstrate scalable profitability. Founder-CEO Steinberg's 30+ year tenure provides strategic continuity rare in asset management.</w:t>
      </w:r>
    </w:p>
    <w:p>
      <w:pPr>
        <w:spacing w:after="120"/>
      </w:pPr>
      <w:r>
        <w:rPr>
          <w:rFonts w:ascii="Calibri" w:hAnsi="Calibri"/>
          <w:b w:val="0"/>
          <w:color w:val="3A4A28"/>
          <w:sz w:val="20"/>
        </w:rPr>
        <w:t>The bear case focuses on competitive risk and leverage. D/E of 231% with $956M in debt is elevated, though $120M in annual free cash flow provides coverage [4]. The core ETF business faces intense fee compression from BlackRock, Vanguard, and Schwab — WisdomTree's average fee rate could decline as competitors offer similar factor-based products at lower costs. The tokenization bet, while innovative, remains early-stage and could face regulatory headwinds or fail to achieve mainstream adoption. The $4M SEC fine for ESG fund greenwashing in 2024 raises governance concerns [3]. With only 360 employees, the company faces key-person risk concentrated around Steinberg. AUM-sensitive revenue means a sustained market downturn could significantly compress earnings despite cost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Tokenization business approaching profitability with $750M in tokenized assets and expansion to new blockchains including Solana, representing a new revenue stream [2]</w:t>
      </w:r>
    </w:p>
    <w:p>
      <w:pPr>
        <w:spacing w:before="40" w:after="40"/>
        <w:ind w:left="283"/>
      </w:pPr>
      <w:r>
        <w:rPr>
          <w:rFonts w:ascii="Calibri" w:hAnsi="Calibri"/>
          <w:b/>
          <w:color w:val="4A6B25"/>
          <w:sz w:val="20"/>
        </w:rPr>
        <w:t xml:space="preserve">2. </w:t>
      </w:r>
      <w:r>
        <w:rPr>
          <w:rFonts w:ascii="Calibri" w:hAnsi="Calibri"/>
          <w:b w:val="0"/>
          <w:color w:val="3A4A28"/>
          <w:sz w:val="20"/>
        </w:rPr>
        <w:t>14% annualized organic growth rate with AUM at $160B+ creating operating leverage on a fixed-cost base with improving margins [1]</w:t>
      </w:r>
    </w:p>
    <w:p>
      <w:pPr>
        <w:spacing w:before="40" w:after="40"/>
        <w:ind w:left="283"/>
      </w:pPr>
      <w:r>
        <w:rPr>
          <w:rFonts w:ascii="Calibri" w:hAnsi="Calibri"/>
          <w:b/>
          <w:color w:val="4A6B25"/>
          <w:sz w:val="20"/>
        </w:rPr>
        <w:t xml:space="preserve">3. </w:t>
      </w:r>
      <w:r>
        <w:rPr>
          <w:rFonts w:ascii="Calibri" w:hAnsi="Calibri"/>
          <w:b w:val="0"/>
          <w:color w:val="3A4A28"/>
          <w:sz w:val="20"/>
        </w:rPr>
        <w:t>WisdomTree Connect platform scaling as blockchain-based financial infrastructure, potentially attracting institutional adoption and licensing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ETF fee compression from BlackRock, Vanguard, and Schwab could erode average fee rates on the core $160B AUM base [2]</w:t>
      </w:r>
    </w:p>
    <w:p>
      <w:pPr>
        <w:spacing w:before="40" w:after="40"/>
        <w:ind w:left="283"/>
      </w:pPr>
      <w:r>
        <w:rPr>
          <w:rFonts w:ascii="Calibri" w:hAnsi="Calibri"/>
          <w:b/>
          <w:color w:val="4A6B25"/>
          <w:sz w:val="20"/>
        </w:rPr>
        <w:t xml:space="preserve">2. </w:t>
      </w:r>
      <w:r>
        <w:rPr>
          <w:rFonts w:ascii="Calibri" w:hAnsi="Calibri"/>
          <w:b w:val="0"/>
          <w:color w:val="3A4A28"/>
          <w:sz w:val="20"/>
        </w:rPr>
        <w:t>Blockchain and tokenization regulatory risk — evolving SEC and global regulatory frameworks could slow adoption or impose compliance costs that undermine the growth thesis [3]</w:t>
      </w:r>
    </w:p>
    <w:p>
      <w:pPr>
        <w:spacing w:before="40" w:after="40"/>
        <w:ind w:left="283"/>
      </w:pPr>
      <w:r>
        <w:rPr>
          <w:rFonts w:ascii="Calibri" w:hAnsi="Calibri"/>
          <w:b/>
          <w:color w:val="4A6B25"/>
          <w:sz w:val="20"/>
        </w:rPr>
        <w:t xml:space="preserve">3. </w:t>
      </w:r>
      <w:r>
        <w:rPr>
          <w:rFonts w:ascii="Calibri" w:hAnsi="Calibri"/>
          <w:b w:val="0"/>
          <w:color w:val="3A4A28"/>
          <w:sz w:val="20"/>
        </w:rPr>
        <w:t>AUM-sensitive business model means a sustained equity market downturn could reduce AUM, revenue, and earnings significantly despite cost discipline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Asset management faces meaningful AI disruption risk. AI-powered robo-advisors, automated portfolio construction, and AI-driven quantitative strategies can replicate core ETF product management at lower cost [2]. WisdomTree's fundamentally weighted indexes could be replicated or improved by AI-driven factor models. However, WisdomTree's pivot to tokenization and blockchain infrastructure creates a defensible technology layer that pure AI tools cannot easily displace — the regulatory moat around tokenized fund products and the WisdomTree Connect platform provide protection [2]. The brand and distribution relationships with financial advisors also create switching costs. AI Opportunity (0/1): No quantifiable AI-related revenue. WisdomTree's technology investment is in blockchain and tokenization rather than AI specifically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WisdomTree Q4 2025 Earnings — adjusted EPS $0.29 vs. $0.24 consensus, revenue $147.4M, AUM record $144.5B, February 2026</w:t>
      </w:r>
    </w:p>
    <w:p>
      <w:pPr>
        <w:spacing w:before="20" w:after="20"/>
        <w:ind w:left="170"/>
      </w:pPr>
      <w:r>
        <w:rPr>
          <w:rFonts w:ascii="Calibri" w:hAnsi="Calibri"/>
          <w:b/>
          <w:color w:val="4A6B25"/>
          <w:sz w:val="15"/>
        </w:rPr>
        <w:t xml:space="preserve">2. </w:t>
      </w:r>
      <w:r>
        <w:rPr>
          <w:rFonts w:ascii="Calibri" w:hAnsi="Calibri"/>
          <w:b w:val="0"/>
          <w:color w:val="3A4A28"/>
          <w:sz w:val="17"/>
        </w:rPr>
        <w:t>WisdomTree CEO Jonathan Steinberg interviews and press releases — tokenization strategy, Best Place to Work, CEO of the Year, 2025-2026</w:t>
      </w:r>
    </w:p>
    <w:p>
      <w:pPr>
        <w:spacing w:before="20" w:after="20"/>
        <w:ind w:left="170"/>
      </w:pPr>
      <w:r>
        <w:rPr>
          <w:rFonts w:ascii="Calibri" w:hAnsi="Calibri"/>
          <w:b/>
          <w:color w:val="4A6B25"/>
          <w:sz w:val="15"/>
        </w:rPr>
        <w:t xml:space="preserve">3. </w:t>
      </w:r>
      <w:r>
        <w:rPr>
          <w:rFonts w:ascii="Calibri" w:hAnsi="Calibri"/>
          <w:b w:val="0"/>
          <w:color w:val="3A4A28"/>
          <w:sz w:val="17"/>
        </w:rPr>
        <w:t>SEC Press Release — WisdomTree $4M fine for ESG fund misstatements, October 2024; Compliance Week reporting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WT,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