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WU</w:t>
      </w:r>
      <w:r>
        <w:rPr>
          <w:rFonts w:ascii="Calibri" w:hAnsi="Calibri"/>
          <w:b/>
          <w:color w:val="1A2010"/>
          <w:sz w:val="40"/>
        </w:rPr>
        <w:t xml:space="preserve">  The Western Union Company</w:t>
      </w:r>
    </w:p>
    <w:p>
      <w:pPr>
        <w:spacing w:after="120"/>
      </w:pPr>
      <w:r>
        <w:rPr>
          <w:rFonts w:ascii="Calibri" w:hAnsi="Calibri"/>
          <w:b/>
          <w:color w:val="6E8450"/>
          <w:sz w:val="18"/>
        </w:rPr>
        <w:t>DIVIDEND SLEEVE · 2026-03-27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The Western Union Company provides money movement, payments, and digital financial services through Consumer Money Transfer and Consumer Services segments. The company operates through a network of agents and digital channels in over 200 countries and territories.</w:t>
      </w:r>
    </w:p>
    <w:p>
      <w:r>
        <w:rPr>
          <w:rFonts w:ascii="Calibri" w:hAnsi="Calibri"/>
          <w:b/>
          <w:color w:val="6E8450"/>
          <w:sz w:val="18"/>
        </w:rPr>
        <w:t>9,600 Employees · https://www.westernunion.com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Union is investing in digital transformation with branded digital revenue growing 7% and transactions up 13% in Q4 2025, now representing 30% of CMT revenues and 39% of transactions [1]. The planned U.S. Dollar payment token (USDPT) and 'stable card' launch in 12+ countries in 2026 show blockchain adoption ambition. However, core Consumer Money Transfer revenue declined 7% YoY, and the 'Beyond' infrastructure migration won't complete until 2027, suggesting the digital transition is too slow to offset analog decline.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Union's role enabling immigrants to send money home serves a critical social function, connecting families across borders [1]. CEO McGranahan's focus on the Intermex acquisition and digital expansion provides strategic direction. However, the frozen dividend ($0.235/quarter since Q1 2021), revenue decline, and 'income and value trap' reputation among analysts suggest stakeholder confidence is eroding.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WU's financials show mixed signals: forward P/E of 4.7x is deeply discounted, 51.9% ROE appears strong but reflects negative book value, and the 10.5% yield looks attractive but the dividend has been frozen for five years [1]. Revenue declined 4% in 2025 to $4.05B, and 2026 guidance of 5-8% growth relies heavily on the Intermex acquisition rather than organic improvement. D/E of 324% reflects heavy leverage, and profit margin of 12.3% is modest. Adjusted FCF conversion over 100% for three consecutive years is a genuine positive.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Western Union is managing a structural decline in its legacy money transfer business while attempting a digital transformation that has been too slow relative to competition. The frozen dividend, declining revenue, and acquisition-dependent growth guidance suggest finite-game thinking focused on managing decline rather than creating sustainable growth.</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cross-border money transfers for immigrants and underbanked populations worldwide serves a genuine humanitarian purpose [1]. Western Union moves money to 200+ countries, often serving populations without access to banking services. However, the company's premium pricing relative to digital competitors raises questions about whether the mission or the margins drive decision-making.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9,600-employee workforce faces uncertainty from the Intermex integration, ongoing 'Beyond' infrastructure migration, and five years of frozen dividends signaling management's concern about cash flow [1]. The transition from legacy to digital operations creates cultural tension between traditional agent-network operations and technology-forward digital teams.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Union explicitly acknowledges competition from Wise, Remitly, and other digital money transfer services, and branded digital revenue growing 7% shows competitive response [1]. The USDPT and stable card initiatives suggest learning from crypto competitors. However, the core CMT business declining 7% indicates the competitive response is insufficient.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Intermex acquisition ($650M revenue), USDPT stablecoin launch, and 'stable card' in 12+ countries demonstrate attempts to evolve beyond the traditional agent network [1]. However, organic revenue is expected to be 'closer to flattish' in 2026, and the company remains fundamentally dependent on a declining legacy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frozen dividend since 2021 and guidance that assumes 'no material changes in macroeconomic conditions, immigration policies, or foreign currencies' reveal a defensive posture [1]. The USDPT stablecoin is a bold move, but the company has made multiple digital promises over the years with limited execution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Union at 4.7x forward earnings with a 10.5% dividend yield represents deep contrarian value if the Intermex acquisition and digital transformation execute successfully [1]. Branded digital grew 7% with transactions up 13%, digital account payouts surged 30%, and consumer services revenue grew 26% — showing the growth businesses within WU are performing. The USDPT stablecoin and stable card could position WU at the intersection of crypto and remittances. Adjusted FCF conversion above 100% for three consecutive years demonstrates cash generation capability despite revenue decline.</w:t>
      </w:r>
    </w:p>
    <w:p>
      <w:pPr>
        <w:spacing w:after="120"/>
      </w:pPr>
      <w:r>
        <w:rPr>
          <w:rFonts w:ascii="Calibri" w:hAnsi="Calibri"/>
          <w:b w:val="0"/>
          <w:color w:val="3A4A28"/>
          <w:sz w:val="20"/>
        </w:rPr>
        <w:t>Western Union is widely viewed as a value trap. The 10.5% dividend has been frozen at $0.235/quarter since 2021, core CMT revenue declined 7% in Q4, and organic 2026 revenue is expected 'closer to flattish' [1]. The Intermex acquisition adds $650M in revenue but increases leverage to 2.1x and carries integration risk. Digital-native competitors Wise and Remitly offer 50-70% lower fees with superior user experience, structurally disadvantaging WU's agent network. The U.S. remittance tax risk and immigration policy uncertainty add regulatory headwinds. The 324% D/E ratio limits financial flexibility, and five years of dividend stagnation suggests management does not expect meaningful earnings recovery. The guidance caveat assuming 'no material changes' in macro or immigration policy is an unusually broad disclaimer.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Intermex acquisition closing in Q2 2026 adds $650M revenue and $30M cost synergies, potentially driving the 6-9% adjusted revenue growth guidance [1]</w:t>
      </w:r>
    </w:p>
    <w:p>
      <w:pPr>
        <w:spacing w:before="40" w:after="40"/>
        <w:ind w:left="283"/>
      </w:pPr>
      <w:r>
        <w:rPr>
          <w:rFonts w:ascii="Calibri" w:hAnsi="Calibri"/>
          <w:b/>
          <w:color w:val="4A6B25"/>
          <w:sz w:val="20"/>
        </w:rPr>
        <w:t xml:space="preserve">2. </w:t>
      </w:r>
      <w:r>
        <w:rPr>
          <w:rFonts w:ascii="Calibri" w:hAnsi="Calibri"/>
          <w:b w:val="0"/>
          <w:color w:val="3A4A28"/>
          <w:sz w:val="20"/>
        </w:rPr>
        <w:t>USDPT stablecoin launch and stable card deployment in 12+ countries in 2H 2026 could attract crypto-native remittance users and reduce transfer costs [1]</w:t>
      </w:r>
    </w:p>
    <w:p>
      <w:pPr>
        <w:spacing w:before="40" w:after="40"/>
        <w:ind w:left="283"/>
      </w:pPr>
      <w:r>
        <w:rPr>
          <w:rFonts w:ascii="Calibri" w:hAnsi="Calibri"/>
          <w:b/>
          <w:color w:val="4A6B25"/>
          <w:sz w:val="20"/>
        </w:rPr>
        <w:t xml:space="preserve">3. </w:t>
      </w:r>
      <w:r>
        <w:rPr>
          <w:rFonts w:ascii="Calibri" w:hAnsi="Calibri"/>
          <w:b w:val="0"/>
          <w:color w:val="3A4A28"/>
          <w:sz w:val="20"/>
        </w:rPr>
        <w:t>Travel money business approaching $150M revenue in 2026 (from near zero a few years ago) via Eurochange demonstrates successful new business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Consumer Money Transfer declining 7% YoY reflects structural market share loss to digital competitors (Wise, Remitly) that may accelerate [1]</w:t>
      </w:r>
    </w:p>
    <w:p>
      <w:pPr>
        <w:spacing w:before="40" w:after="40"/>
        <w:ind w:left="283"/>
      </w:pPr>
      <w:r>
        <w:rPr>
          <w:rFonts w:ascii="Calibri" w:hAnsi="Calibri"/>
          <w:b/>
          <w:color w:val="4A6B25"/>
          <w:sz w:val="20"/>
        </w:rPr>
        <w:t xml:space="preserve">2. </w:t>
      </w:r>
      <w:r>
        <w:rPr>
          <w:rFonts w:ascii="Calibri" w:hAnsi="Calibri"/>
          <w:b w:val="0"/>
          <w:color w:val="3A4A28"/>
          <w:sz w:val="20"/>
        </w:rPr>
        <w:t>Proposed U.S. remittance tax could reduce transaction volumes — CEO's claim of 'no material impact' through six weeks is insufficient evidence for a full-year assessment</w:t>
      </w:r>
    </w:p>
    <w:p>
      <w:pPr>
        <w:spacing w:before="40" w:after="40"/>
        <w:ind w:left="283"/>
      </w:pPr>
      <w:r>
        <w:rPr>
          <w:rFonts w:ascii="Calibri" w:hAnsi="Calibri"/>
          <w:b/>
          <w:color w:val="4A6B25"/>
          <w:sz w:val="20"/>
        </w:rPr>
        <w:t xml:space="preserve">3. </w:t>
      </w:r>
      <w:r>
        <w:rPr>
          <w:rFonts w:ascii="Calibri" w:hAnsi="Calibri"/>
          <w:b w:val="0"/>
          <w:color w:val="3A4A28"/>
          <w:sz w:val="20"/>
        </w:rPr>
        <w:t>The frozen $0.235 quarterly dividend since 2021 may face cut risk if Intermex integration costs or organic revenue deterioration compress FCF below the ~$500M annual dividend burden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moderate disruption risk to Western Union's core business as fintech competitors (Wise, Remitly, Revolut) use AI for automated compliance, dynamic pricing, and instant cross-border transfers at lower fees [1]. AI could help WU improve fraud detection and operational efficiency, but the company's agent-network model is structurally more expensive than digital-native competitors. The USDPT stablecoin initiative could leapfrog traditional rails if executed successfully.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Union Q4/FY2025 Earnings Release and 2026 Guidance, February 20, 2026</w:t>
      </w:r>
    </w:p>
    <w:p>
      <w:pPr>
        <w:spacing w:before="20" w:after="20"/>
        <w:ind w:left="170"/>
      </w:pPr>
      <w:r>
        <w:rPr>
          <w:rFonts w:ascii="Calibri" w:hAnsi="Calibri"/>
          <w:b/>
          <w:color w:val="4A6B25"/>
          <w:sz w:val="15"/>
        </w:rPr>
        <w:t xml:space="preserve">2. </w:t>
      </w:r>
      <w:r>
        <w:rPr>
          <w:rFonts w:ascii="Calibri" w:hAnsi="Calibri"/>
          <w:b w:val="0"/>
          <w:color w:val="3A4A28"/>
          <w:sz w:val="17"/>
        </w:rPr>
        <w:t>Western Union Digital Strategy and Intermex Acquisition Analysis — Seeking Alpha, CNBC,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WU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