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WVE</w:t>
      </w:r>
      <w:r>
        <w:rPr>
          <w:rFonts w:ascii="Calibri" w:hAnsi="Calibri"/>
          <w:b/>
          <w:color w:val="1A2010"/>
          <w:sz w:val="40"/>
        </w:rPr>
        <w:t xml:space="preserve">  Wave Life Sciences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NGM · Singapore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Wave Life Sciences is a clinical-stage biotechnology company developing stereopure oligonucleotides for genetic diseases, including programs for Duchenne muscular dystrophy and other rare diseases.</w:t>
      </w:r>
    </w:p>
    <w:p>
      <w:r>
        <w:rPr>
          <w:rFonts w:ascii="Calibri" w:hAnsi="Calibri"/>
          <w:b/>
          <w:color w:val="6E8450"/>
          <w:sz w:val="18"/>
        </w:rPr>
        <w:t>317 Employees · https://wavelifesciences.com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Pre-revenue clinical-stage biotech with stereopure oligonucleotide platform showing differentiated chemistry approach [1]. AI Deployment (0/2): None. Market Share (2/2): Pioneer in stereopure oligonucleotide chemistry, defining a new therapeutic modality [1]. Pipeline (2/2): Multiple clinical programs with specific timelines including DMD and other rare diseases. R&amp;D Intensity (1/1): R&amp;D spending is significant relative to company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to deliver transformative RNA medicines for genetic diseases. Community Impact (0/2): Pre-revenue, limited community programs. Employee Retention (1/2): 317 employees, stable scientific team. Insider Buying (1/2): Some insider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WVE has deeply challenged financials typical of clinical-stage biotech. D/E of 3.4% is minimal but ROE of -55.0% and profit margin of 0% (negative) show cash-burning operations [1]. Revenue declined 79.4% YoY. No forward P/E available (negative). Liquidity cleared at $30.5M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Wave Life Sciences pursues a genuine scientific mission in genetic medicine with long-term conviction in its stereopure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Curing genetic diseases through RNA medicines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(0 pts → 3/10)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Long-term R&amp;D investment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Wave Life Sciences is pioneering stereopure oligonucleotide chemistry, a differentiated approach to genetic medicines with multiple clinical programs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 a clinical-stage company with -79.4% revenue decline and deeply negative profitability, WVE is a high-risk biotech investment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data readouts for DMD and other pipeline programs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Partnership or licensing deals validating stereopure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milestones advancing toward approval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trial failure risk across all pipeline programs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with negative ROE of -55%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decline of 79.4% YoY suggesting partnership headwinds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Oligonucleotide drug development involves highly specialized chemistry and biological processes that AI cannot substitute [1]. However, AI is accelerating drug discovery broadly. AI Opportunity (1/1): AI tools used for target identification and sequence optimization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WVE (Wave Life Sciences),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