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WWR</w:t>
      </w:r>
      <w:r>
        <w:rPr>
          <w:rFonts w:ascii="Calibri" w:hAnsi="Calibri"/>
          <w:b/>
          <w:color w:val="1A2010"/>
          <w:sz w:val="40"/>
        </w:rPr>
        <w:t xml:space="preserve">  Westwater Resources, Inc.</w:t>
      </w:r>
    </w:p>
    <w:p>
      <w:pPr>
        <w:spacing w:after="120"/>
      </w:pPr>
      <w:r>
        <w:rPr>
          <w:rFonts w:ascii="Calibri" w:hAnsi="Calibri"/>
          <w:b/>
          <w:color w:val="6E8450"/>
          <w:sz w:val="18"/>
        </w:rPr>
        <w:t>GROWTH SLEEVE · 2026-04-17 · Inspire: 48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NYSE American · United States</w:t>
      </w:r>
    </w:p>
    <w:p>
      <w:pPr>
        <w:spacing w:after="80"/>
      </w:pPr>
      <w:r>
        <w:rPr>
          <w:rFonts w:ascii="Calibri" w:hAnsi="Calibri"/>
          <w:b w:val="0"/>
          <w:color w:val="3A4A28"/>
          <w:sz w:val="20"/>
        </w:rPr>
        <w:t>Westwater Resources is a pre-revenue energy technology company developing battery-grade natural graphite materials in the United States. It holds interests in the Coosa Graphite project in Alabama and operates the Kellyton Graphite Processing Plant qualification line, capable of producing over one metric ton per day of coated spherical purified graphite for customer sampling.</w:t>
      </w:r>
    </w:p>
    <w:p>
      <w:r>
        <w:rPr>
          <w:rFonts w:ascii="Calibri" w:hAnsi="Calibri"/>
          <w:b/>
          <w:color w:val="6E8450"/>
          <w:sz w:val="18"/>
        </w:rPr>
        <w:t>20 Employees · https://westwaterresources.net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Westwater pivoted from uranium mining to graphite processing, rebranding in 2017, but has yet to generate commercial revenue from its Kellyton plant after years of development [1]. The qualification line was commissioned in early 2025, producing CSPG samples for customer testing — a milestone, but no commercial sales [2]. AI Deployment (0/2): No AI-related products, services, or internal AI deployment evident in public materials. Market Share (0/2): Zero commercial market share; the company is pre-revenue and competing against established graphite processors in China, which control over 90% of global graphite processing [1]. Pipeline (1/2): Phase I of Kellyton targets 7,500 metric tonnes per year capacity with potential expansion to 12,500 MT, but the plant requires over $200 million in financing that has not been secured [1]. R&amp;D Intensity (1/1): The company is essentially an R&amp;D-stage enterprise, spending the majority of its resources on process development and customer qualification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Westwater's stated purpose centers on providing domestically sourced critical minerals for the clean energy transition — clear and relevant, but not distinctive among the dozens of companies pursuing IRA-compliant mineral supply chains [4]. Community Impact (1/2): The Kellyton plant is expected to create approximately 200 jobs in rural Coosa County, Alabama, and the project has received state support from Governor Ivey, but these jobs remain prospective, not actual [5]. Employee Retention (0/2): With only 20 employees, meaningful retention data is unavailable. Insider Buying (0/2): Insider ownership stands at just 5.3%, with no evidence of meaningful net insider buying in the past 12 months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FAILURE: Average daily volume of 1.43M shares multiplied by the $0.67 stock price yields daily dollar volume of approximately $960,000, which falls below the $1,000,000 liquidity threshold required by IOWN [3]. Even absent the liquidity floor, Westwater's financial profile is deeply challenged: the company is pre-revenue with negative ROE of -17.4%, negative operating cash flow of -$9.9M, and negative free cash flow of -$21.6M in 2025 [1]. The company raised approximately $67M through convertible notes and equity sales in 2025 to fund operations, diluting existing shareholders [1]. Total cash of $48.6M against $6.3M debt provides runway but no earnings visibility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Westwater is playing a speculative finite game — betting its existence on securing $200M+ in financing to build a single plant in a commodity market dominated by Chinese incumbents. The company has pivoted from uranium to graphite, showing some flexibility, but survival depends entirely on near-term financing and customer qualification milestones rather than enduring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Westwater's cause — building domestic U.S. graphite supply for the energy transition — is timely and government-supported, but it functions more as a market thesis than a Just Cause [1]. The company exists because of IRA incentives, not because of a decades-long commitment to a vision. Leadership references policy tailwinds more than purpose in investor communications. (1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20 employees, Westwater operates as a small team where trust is implicit rather than built through organizational design [4]. CEO Frank Bakker brings relevant engineering and plant construction experience, but the organization is too small and too early to evaluate team culture meaningfully. No red flags, but no evidence of exceptional trust. (1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Westwater's competitive framing is almost entirely about displacing Chinese graphite processors through U.S. policy advantages rather than building competitive capability [1]. The company does not reference learning from established competitors like Syrah Resources or Nouveau Monde Graphite. The competitive narrative is geopolitical positioning, not self-improvement.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uranium mining (Uranium Resources, Inc.) to graphite processing in 2017 demonstrates willingness to reinvent the company in response to market shifts [4]. However, this was driven by uranium market collapse rather than Just Cause, and the graphite strategy itself has shown limited flexibility — the company remains locked into a single plant, single product strategy. (1 point)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leadership decisions that sacrificed short-term results for long-term capability [1]. The company's strategy is largely reactive — responding to IRA incentives, raising capital through dilutive offerings when cash runs low, and following the government-supported critical minerals playbook. Leadership has not demonstrated willingness to make costly contrarian bets. (0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Westwater Resources is positioned in a strategically important niche — domestic U.S. graphite processing for EV batteries and energy storage — supported by IRA incentives and growing urgency to de-risk supply chains from China [1]. The Kellyton qualification line is operational, producing CSPG samples for customer testing, and the company holds approximately $48.6M in cash with minimal debt of $6.3M [3]. The Coosa Graphite deposit in Alabama provides a domestic feedstock source, and Phase I targets 7,500 MT/year capacity with expansion potential [1].</w:t>
      </w:r>
    </w:p>
    <w:p>
      <w:pPr>
        <w:spacing w:after="120"/>
      </w:pPr>
      <w:r>
        <w:rPr>
          <w:rFonts w:ascii="Calibri" w:hAnsi="Calibri"/>
          <w:b w:val="0"/>
          <w:color w:val="3A4A28"/>
          <w:sz w:val="20"/>
        </w:rPr>
        <w:t>However, the investment case is almost entirely speculative. Westwater is pre-revenue with a $83M market cap, negative operating cash flow of -$9.9M annually, and needs $200M+ in financing to build Phase I of Kellyton — financing that has not been secured [1]. The stock has declined 82% from its 52-week high of $3.75 to $0.67, reflecting deep market skepticism about financing prospects and execution [3]. With only 20 employees, the organization lacks the scale to execute a major construction project without significant outside support. The graphite market is dominated by Chinese processors operating at much lower cost, and customer qualification timelines remain uncertain. The stock fails IOWN's liquidity floor with daily dollar volume under $1M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Securing $200M+ project financing for Kellyton Phase I construction, which would transform the company from development-stage to construction-stage [1]</w:t>
      </w:r>
    </w:p>
    <w:p>
      <w:pPr>
        <w:spacing w:before="40" w:after="40"/>
        <w:ind w:left="283"/>
      </w:pPr>
      <w:r>
        <w:rPr>
          <w:rFonts w:ascii="Calibri" w:hAnsi="Calibri"/>
          <w:b/>
          <w:color w:val="4A6B25"/>
          <w:sz w:val="20"/>
        </w:rPr>
        <w:t xml:space="preserve">2. </w:t>
      </w:r>
      <w:r>
        <w:rPr>
          <w:rFonts w:ascii="Calibri" w:hAnsi="Calibri"/>
          <w:b w:val="0"/>
          <w:color w:val="3A4A28"/>
          <w:sz w:val="20"/>
        </w:rPr>
        <w:t>Customer qualification completion with major battery or EV manufacturers, providing demand visibility and potential offtake agreements [2]</w:t>
      </w:r>
    </w:p>
    <w:p>
      <w:pPr>
        <w:spacing w:before="40" w:after="40"/>
        <w:ind w:left="283"/>
      </w:pPr>
      <w:r>
        <w:rPr>
          <w:rFonts w:ascii="Calibri" w:hAnsi="Calibri"/>
          <w:b/>
          <w:color w:val="4A6B25"/>
          <w:sz w:val="20"/>
        </w:rPr>
        <w:t xml:space="preserve">3. </w:t>
      </w:r>
      <w:r>
        <w:rPr>
          <w:rFonts w:ascii="Calibri" w:hAnsi="Calibri"/>
          <w:b w:val="0"/>
          <w:color w:val="3A4A28"/>
          <w:sz w:val="20"/>
        </w:rPr>
        <w:t>Expansion of IRA critical mineral incentives or tariffs on Chinese graphite imports, increasing the competitive advantage of domestic U.S. supply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Financing risk — the company needs over $200M that has not been secured, and equity raises at $0.67/share would be massively dilutive to existing shareholders [1]</w:t>
      </w:r>
    </w:p>
    <w:p>
      <w:pPr>
        <w:spacing w:before="40" w:after="40"/>
        <w:ind w:left="283"/>
      </w:pPr>
      <w:r>
        <w:rPr>
          <w:rFonts w:ascii="Calibri" w:hAnsi="Calibri"/>
          <w:b/>
          <w:color w:val="4A6B25"/>
          <w:sz w:val="20"/>
        </w:rPr>
        <w:t xml:space="preserve">2. </w:t>
      </w:r>
      <w:r>
        <w:rPr>
          <w:rFonts w:ascii="Calibri" w:hAnsi="Calibri"/>
          <w:b w:val="0"/>
          <w:color w:val="3A4A28"/>
          <w:sz w:val="20"/>
        </w:rPr>
        <w:t>Liquidity risk — daily dollar volume under $1M makes the stock difficult to trade in size, trapping institutional investors [3]</w:t>
      </w:r>
    </w:p>
    <w:p>
      <w:pPr>
        <w:spacing w:before="40" w:after="40"/>
        <w:ind w:left="283"/>
      </w:pPr>
      <w:r>
        <w:rPr>
          <w:rFonts w:ascii="Calibri" w:hAnsi="Calibri"/>
          <w:b/>
          <w:color w:val="4A6B25"/>
          <w:sz w:val="20"/>
        </w:rPr>
        <w:t xml:space="preserve">3. </w:t>
      </w:r>
      <w:r>
        <w:rPr>
          <w:rFonts w:ascii="Calibri" w:hAnsi="Calibri"/>
          <w:b w:val="0"/>
          <w:color w:val="3A4A28"/>
          <w:sz w:val="20"/>
        </w:rPr>
        <w:t>Execution risk — transitioning from a 1 MT/day qualification line to a 7,500 MT/year commercial plant is an enormous operational leap for a 20-person company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Westwater operates in physical-world graphite mining and processing — AI cannot substitute for the extraction, purification, and coating of natural graphite into battery anode material [1]. The company's value proposition is geopolitical (U.S.-sourced IRA-compliant graphite to replace Chinese supply chain dependence), which is entirely immune to AI substitution. If anything, the AI boom increases demand for battery materials as data center backup power and EV adoption accelerate. AI Opportunity (0/1): No AI-related revenue streams or AI-enabled products; the company is a materials processor with no meaningful technology component beyond its proprietary purification process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Westwater Resources Full Year and Q4 2025 Results, March 20, 2026</w:t>
      </w:r>
    </w:p>
    <w:p>
      <w:pPr>
        <w:spacing w:before="20" w:after="20"/>
        <w:ind w:left="170"/>
      </w:pPr>
      <w:r>
        <w:rPr>
          <w:rFonts w:ascii="Calibri" w:hAnsi="Calibri"/>
          <w:b/>
          <w:color w:val="4A6B25"/>
          <w:sz w:val="15"/>
        </w:rPr>
        <w:t xml:space="preserve">2. </w:t>
      </w:r>
      <w:r>
        <w:rPr>
          <w:rFonts w:ascii="Calibri" w:hAnsi="Calibri"/>
          <w:b w:val="0"/>
          <w:color w:val="3A4A28"/>
          <w:sz w:val="17"/>
        </w:rPr>
        <w:t>Westwater Resources Successfully Commissions Kellyton Qualification Line, BusinessWire, February 2025</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WWR (Westwater Resources), retrieved April 17, 2026</w:t>
      </w:r>
    </w:p>
    <w:p>
      <w:pPr>
        <w:spacing w:before="20" w:after="20"/>
        <w:ind w:left="170"/>
      </w:pPr>
      <w:r>
        <w:rPr>
          <w:rFonts w:ascii="Calibri" w:hAnsi="Calibri"/>
          <w:b/>
          <w:color w:val="4A6B25"/>
          <w:sz w:val="15"/>
        </w:rPr>
        <w:t xml:space="preserve">4. </w:t>
      </w:r>
      <w:r>
        <w:rPr>
          <w:rFonts w:ascii="Calibri" w:hAnsi="Calibri"/>
          <w:b w:val="0"/>
          <w:color w:val="3A4A28"/>
          <w:sz w:val="17"/>
        </w:rPr>
        <w:t>Westwater Resources corporate website and investor presentations, westwaterresources.net</w:t>
      </w:r>
    </w:p>
    <w:p>
      <w:pPr>
        <w:spacing w:before="20" w:after="20"/>
        <w:ind w:left="170"/>
      </w:pPr>
      <w:r>
        <w:rPr>
          <w:rFonts w:ascii="Calibri" w:hAnsi="Calibri"/>
          <w:b/>
          <w:color w:val="4A6B25"/>
          <w:sz w:val="15"/>
        </w:rPr>
        <w:t xml:space="preserve">5. </w:t>
      </w:r>
      <w:r>
        <w:rPr>
          <w:rFonts w:ascii="Calibri" w:hAnsi="Calibri"/>
          <w:b w:val="0"/>
          <w:color w:val="3A4A28"/>
          <w:sz w:val="17"/>
        </w:rPr>
        <w:t>Governor Ivey announcement — Westwater Resources Plans First U.S. Graphite Processing Plant in Alabama, June 2021</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