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WYNN</w:t>
      </w:r>
      <w:r>
        <w:rPr>
          <w:rFonts w:ascii="Calibri" w:hAnsi="Calibri"/>
          <w:b/>
          <w:color w:val="1A2010"/>
          <w:sz w:val="40"/>
        </w:rPr>
        <w:t xml:space="preserve">  Wynn Resorts, Limited</w:t>
      </w:r>
    </w:p>
    <w:p>
      <w:pPr>
        <w:spacing w:after="120"/>
      </w:pPr>
      <w:r>
        <w:rPr>
          <w:rFonts w:ascii="Calibri" w:hAnsi="Calibri"/>
          <w:b/>
          <w:color w:val="6E8450"/>
          <w:sz w:val="18"/>
        </w:rPr>
        <w:t>GROWTH SLEEVE · 2026-04-23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Resorts &amp; Casinos · NASDAQ · United States</w:t>
      </w:r>
    </w:p>
    <w:p>
      <w:pPr>
        <w:spacing w:after="80"/>
      </w:pPr>
      <w:r>
        <w:rPr>
          <w:rFonts w:ascii="Calibri" w:hAnsi="Calibri"/>
          <w:b w:val="0"/>
          <w:color w:val="3A4A28"/>
          <w:sz w:val="20"/>
        </w:rPr>
        <w:t>Wynn Resorts designs, develops, and operates luxury integrated resorts featuring casinos, hotels, spas, restaurants, nightlife, and convention facilities. The company operates Wynn Palace and Wynn Macau in the Macau SAR, Wynn Las Vegas and Encore in Nevada, and Encore Boston Harbor in Massachusetts. Wynn holds the most Forbes Five-Star awards of any independent hotel company globally.</w:t>
      </w:r>
    </w:p>
    <w:p>
      <w:r>
        <w:rPr>
          <w:rFonts w:ascii="Calibri" w:hAnsi="Calibri"/>
          <w:b/>
          <w:color w:val="6E8450"/>
          <w:sz w:val="18"/>
        </w:rPr>
        <w:t>28,500 Employees · https://www.wynnresorts.com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Wynn completed the post-COVID recovery with revenue reaching $7.14B in 2025, and the company is investing $400-$450M in capital projects including the Chairman's Club build-out and Wynn Tower refresh [1]. The Macau concession renewal in 2023 secures a 10-year operating runway. However, recent innovation has been incremental rather than transformative. AI Deployment (1/2): CIO Dan Regalado is deploying agentic AI for guest personalization, smart room controls, and trip planning assistance, guided by the principle 'only people make people happy' — AI enhances rather than replaces the human luxury service model [2]. No specific AI revenue quantified. Market Share (2/2): Wynn holds the premium luxury position in both Las Vegas and Macau, with more Forbes Five-Star awards than any independent hotel company globally [2]. The brand commands the highest RevPAR and table game hold rates in its markets. Pipeline (1/2): $400-$450M capex guided for 2026 including Chairman's Club and tower refresh, plus concession-related initiatives in Macau [1]. UAE and Japan represent potential future development, though timelines are uncertain. R&amp;D Intensity (0/1): R&amp;D spend is minimal — innovation at Wynn is design and experience-oriented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Wynn's purpose centers on creating extraordinary guest experiences — the company's internal mantra 'only people make people happy' is specific, distinctive, and clearly shapes every technology and hiring decision [2]. CEO Craig Billings leads with a commitment to standards of excellence that differentiate Wynn from commodity gaming operators. Community Impact (2/2): Wynn's 2025 ESG report documents $20.6M in cash donations, $2.6M in in-kind support, and 2.2M meals packed through community programs [3]. Waste diversion rates of 49% at Wynn Las Vegas and 57% at Encore Boston Harbor demonstrate operational commitment. The company maintains a Human Trafficking Prevention program. Employee Retention (1/2): With 28,500 employees, Wynn has invested in workforce development programs and diversity initiatives, resulting in one of the most diverse boards in the industry [2]. The 'only people make people happy' culture suggests above-average employee engagement in hospitality. Insider Buying (1/2): CEO Billings holds significant equity compensation aligning management with shareholders, though net insider buying data is not prominently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Wynn's infrastructure reflects the capital-intensive luxury resort model with negative book value from aggressive share buybacks and debt-financed development. Revenue of $7.14B grew just 0.14% YoY, indicating the post-COVID recovery has plateaued [5]. Forward P/E of 18.5x is reasonable given the luxury positioning, and the forward PEG of 0.72 is excellent, reflecting analyst expectations of 83% EPS growth from $3.14 to $5.75 [5]. However, book value is negative (-$2.69), making D/E and ROE incalculable — total debt of $12.18B against negative equity of -$0.28B reflects substantial financial risk [5]. Profit margin of 4.6% is thin for a luxury brand, compressed by heavy depreciation and interest expense. Operating margin of 15.7% better reflects the underlying business quality. Free cash flow of $414M provides operational flexibility despite the balance sheet structure. Liquidity floor cleared at $184.6M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Wynn demonstrates strong infinite game characteristics in its unwavering commitment to luxury excellence and the 'only people make people happy' philosophy that has endured through the founder's departure, CEO transitions, and market crises. However, the company's history includes the Steve Wynn sexual misconduct scandal and the gambling industry's inherent focus on quarterly gaming revenue creates finite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points). 'Only people make people happy' is a distinctive purpose that guides technology, hiring, and design decisions across all properties [2]. The commitment to being the world's premier luxury resort operator has survived the traumatic founder departure (Steve Wynn) and CEO transition, suggesting organizational resilience beyond any individual. However, the purpose hasn't been tested through a sustained revenue decline or existential industry disruption.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High-trust organization demonstrated (2 points). Wynn's post-Steve Wynn governance overhaul resulted in one of the most diverse boards in the country and a complete senior management refresh [2]. The 'only people make people happy' philosophy extends to back-of-house operations, and CIO Regalado explicitly states that every technology decision must enable staff to deliver more meaningful guest interactions. With 28,500 employees in hospitality — an industry known for high turnover — maintaining a culture of trust is organizationally remarkable.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demonstrated (1 point). Wynn's competitive positioning focuses on being the best rather than beating rivals — the company pursues Forbes Five-Star awards as a measure of absolute excellence, not relative market share [2]. Management language emphasizes raising standards and guest experience quality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 point). Wynn has evolved from a Las Vegas-centric operator to a global luxury resort company spanning Macau, Las Vegas, and Boston [1]. The company adapted through the Steve Wynn departure by completely reimagining governance and culture. However, the core business model — luxury integrated resort operations — has remained fundamentally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 point). The board's swift and decisive action following the Steve Wynn scandal — removing the founder, overhauling governance, refreshing the entire senior leadership team — demonstrated courage to prioritize organizational integrity over short-term stability [2]. Investing $400-$450M in property refreshes while carrying $12.2B in debt shows conviction in the long-term luxury experience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Wynn Resorts is the world's premier luxury integrated resort operator, holding more Forbes Five-Star awards than any independent hotel company, with $7.14B in annual revenue and a forward PEG ratio of 0.72 that implies significant earnings growth ahead — analysts project EPS improving from $3.14 to $5.75 (83% growth) [1][5]. At 18.5x forward P/E, the stock is reasonably valued for a luxury brand with monopolistic gaming concessions in Macau (secured through 2033), a dominant Las Vegas position, and $400-$450M in annual capital investment refreshing properties [1]. Free cash flow of $414M and operating margin of 15.7% demonstrate the underlying profitability of the luxury resort model. The consensus Strong Buy rating from 16 of 18 analysts reflects confidence in earnings recovery and Macau growth normalization [1].</w:t>
      </w:r>
    </w:p>
    <w:p>
      <w:pPr>
        <w:spacing w:after="120"/>
      </w:pPr>
      <w:r>
        <w:rPr>
          <w:rFonts w:ascii="Calibri" w:hAnsi="Calibri"/>
          <w:b w:val="0"/>
          <w:color w:val="3A4A28"/>
          <w:sz w:val="20"/>
        </w:rPr>
        <w:t>The bear case centers on balance sheet risk and macro sensitivity. Total debt of $12.18B against negative equity of -$0.28B creates a highly leveraged capital structure with no book value safety net [5]. Revenue growth has flatlined at 0.14% YoY after the post-COVID surge, and profit margins of 4.6% are thin for a luxury brand, compressed by $12B+ in debt service. The Macau gaming market faces regulatory and geopolitical uncertainty as China's economic growth slows and government policy toward gaming can shift unpredictably. EPS declined 59.3% in the most recent period, and the recovery trajectory embedded in the 0.72 PEG depends on execution. The dividend yield of 0.94% is negligible and was suspended during COVID (2020-2023), demonstrating income unreliability. Consumer discretionary spending on luxury travel and gaming is highly cyclical — a recession would disproportionately impact Wynn's high-end customer base. Competition from new integrated resorts in Asia (Japan, UAE) could dilute Wynn's premium positioning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Analyst-projected EPS growth from $3.14 to $5.75 (83%) driven by Macau gaming revenue normalization and Las Vegas property upgrades including Chairman's Club and Wynn Tower refresh [1]</w:t>
      </w:r>
    </w:p>
    <w:p>
      <w:pPr>
        <w:spacing w:before="40" w:after="40"/>
        <w:ind w:left="283"/>
      </w:pPr>
      <w:r>
        <w:rPr>
          <w:rFonts w:ascii="Calibri" w:hAnsi="Calibri"/>
          <w:b/>
          <w:color w:val="4A6B25"/>
          <w:sz w:val="20"/>
        </w:rPr>
        <w:t xml:space="preserve">2. </w:t>
      </w:r>
      <w:r>
        <w:rPr>
          <w:rFonts w:ascii="Calibri" w:hAnsi="Calibri"/>
          <w:b w:val="0"/>
          <w:color w:val="3A4A28"/>
          <w:sz w:val="20"/>
        </w:rPr>
        <w:t>Macau concession secured through 2033 providing 7+ years of operating certainty in the world's largest gaming market [1]</w:t>
      </w:r>
    </w:p>
    <w:p>
      <w:pPr>
        <w:spacing w:before="40" w:after="40"/>
        <w:ind w:left="283"/>
      </w:pPr>
      <w:r>
        <w:rPr>
          <w:rFonts w:ascii="Calibri" w:hAnsi="Calibri"/>
          <w:b/>
          <w:color w:val="4A6B25"/>
          <w:sz w:val="20"/>
        </w:rPr>
        <w:t xml:space="preserve">3. </w:t>
      </w:r>
      <w:r>
        <w:rPr>
          <w:rFonts w:ascii="Calibri" w:hAnsi="Calibri"/>
          <w:b w:val="0"/>
          <w:color w:val="3A4A28"/>
          <w:sz w:val="20"/>
        </w:rPr>
        <w:t>Agentic AI deployment for guest personalization and operational efficiency, enhancing RevPAR and customer lifetime value across all properties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equity (-$0.28B) and $12.18B total debt create refinancing risk and limit financial flexibility during downturns — no book value safety net [5]</w:t>
      </w:r>
    </w:p>
    <w:p>
      <w:pPr>
        <w:spacing w:before="40" w:after="40"/>
        <w:ind w:left="283"/>
      </w:pPr>
      <w:r>
        <w:rPr>
          <w:rFonts w:ascii="Calibri" w:hAnsi="Calibri"/>
          <w:b/>
          <w:color w:val="4A6B25"/>
          <w:sz w:val="20"/>
        </w:rPr>
        <w:t xml:space="preserve">2. </w:t>
      </w:r>
      <w:r>
        <w:rPr>
          <w:rFonts w:ascii="Calibri" w:hAnsi="Calibri"/>
          <w:b w:val="0"/>
          <w:color w:val="3A4A28"/>
          <w:sz w:val="20"/>
        </w:rPr>
        <w:t>Macau geopolitical and regulatory risk — China's gaming policy, economic slowdown, and cross-border travel restrictions could compress Wynn's largest market [1]</w:t>
      </w:r>
    </w:p>
    <w:p>
      <w:pPr>
        <w:spacing w:before="40" w:after="40"/>
        <w:ind w:left="283"/>
      </w:pPr>
      <w:r>
        <w:rPr>
          <w:rFonts w:ascii="Calibri" w:hAnsi="Calibri"/>
          <w:b/>
          <w:color w:val="4A6B25"/>
          <w:sz w:val="20"/>
        </w:rPr>
        <w:t xml:space="preserve">3. </w:t>
      </w:r>
      <w:r>
        <w:rPr>
          <w:rFonts w:ascii="Calibri" w:hAnsi="Calibri"/>
          <w:b w:val="0"/>
          <w:color w:val="3A4A28"/>
          <w:sz w:val="20"/>
        </w:rPr>
        <w:t>Revenue growth stagnation at 0.14% YoY post-COVID recovery raises questions about whether the luxury gaming market has reached a plateau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Wynn's core business — operating physical luxury integrated resorts with casinos, hotels, restaurants, and entertainment — is structurally immune to AI substitution. Guests physically travel to Wynn properties for experiential luxury that cannot be digitized: the sound of cards being dealt, the taste of a Michelin-starred meal, the feel of a luxury suite. Regulatory barriers (gaming licenses, concession agreements) add further protection. The Macau concession is government-granted and monopolistic. Online gambling represents a theoretical AI-adjacent threat, but Wynn's luxury positioning targets a high-end customer who values the in-person experience. AI Opportunity (1/1): CIO Regalado is deploying agentic AI for guest personalization, smart room controls, and predictive hospitality, creating operational efficiencies and enhanced guest experiences that contribute to revenue per available room [2]. AI-powered trip planning integration positions Wynn to capture demand as consumers increasingly use AI for travel planning.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Wynn Resorts Q4 2025 Earnings and FY2025 Results — $7.14B revenue, $3.14 trailing EPS, $400-$450M capex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Hospitality Technology and Wynn corporate — CIO Dan Regalado on AI strategy, 'only people make people happy' philosophy, Forbes Five-Star leadership</w:t>
      </w:r>
    </w:p>
    <w:p>
      <w:pPr>
        <w:spacing w:before="20" w:after="20"/>
        <w:ind w:left="170"/>
      </w:pPr>
      <w:r>
        <w:rPr>
          <w:rFonts w:ascii="Calibri" w:hAnsi="Calibri"/>
          <w:b/>
          <w:color w:val="4A6B25"/>
          <w:sz w:val="15"/>
        </w:rPr>
        <w:t xml:space="preserve">3. </w:t>
      </w:r>
      <w:r>
        <w:rPr>
          <w:rFonts w:ascii="Calibri" w:hAnsi="Calibri"/>
          <w:b w:val="0"/>
          <w:color w:val="3A4A28"/>
          <w:sz w:val="17"/>
        </w:rPr>
        <w:t>Wynn Resorts 2025 ESG Report — $20.6M cash donations, $2.6M in-kind support, waste diversion metrics, Human Trafficking Prevention program, April 2026</w:t>
      </w:r>
    </w:p>
    <w:p>
      <w:pPr>
        <w:spacing w:before="20" w:after="20"/>
        <w:ind w:left="170"/>
      </w:pPr>
      <w:r>
        <w:rPr>
          <w:rFonts w:ascii="Calibri" w:hAnsi="Calibri"/>
          <w:b/>
          <w:color w:val="4A6B25"/>
          <w:sz w:val="15"/>
        </w:rPr>
        <w:t xml:space="preserve">4. </w:t>
      </w:r>
      <w:r>
        <w:rPr>
          <w:rFonts w:ascii="Calibri" w:hAnsi="Calibri"/>
          <w:b w:val="0"/>
          <w:color w:val="3A4A28"/>
          <w:sz w:val="17"/>
        </w:rPr>
        <w:t>Barchart and MarketBeat — Analyst consensus Strong Buy (16/18), Q1 2026 EPS estimate $1.18, full year $4.92</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WYNN (Wynn Resorts),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