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XEL</w:t>
      </w:r>
      <w:r>
        <w:rPr>
          <w:rFonts w:ascii="Calibri" w:hAnsi="Calibri"/>
          <w:b/>
          <w:color w:val="1A2010"/>
          <w:sz w:val="40"/>
        </w:rPr>
        <w:t xml:space="preserve">  Xcel Energy Inc.</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Xcel Energy is a regulated electric and natural gas utility serving approximately 3.7 million electricity and 2.1 million natural gas customers across eight states including Colorado, Minnesota, and Texas. The company is a leading clean energy provider with aggressive decarbonization targets and significant renewable energy investments, increasingly positioning itself as critical infrastructure for AI data center demand.</w:t>
      </w:r>
    </w:p>
    <w:p>
      <w:r>
        <w:rPr>
          <w:rFonts w:ascii="Calibri" w:hAnsi="Calibri"/>
          <w:b/>
          <w:color w:val="6E8450"/>
          <w:sz w:val="18"/>
        </w:rPr>
        <w:t>11,534 Employees · https://www.xcelenergy.com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Xcel delivered 2025 ongoing EPS of $3.80 (up 8.6% YoY from $3.50), marking its 21st consecutive year meeting or exceeding initial guidance [1]. Revenue grew 9.1% to $14.7B. AI Deployment (2/2): Xcel is aggressively integrating AI across operations — wildfire mitigation using AI-powered detection ($500M invested since 2020), digital twin technology resembling tech-company capabilities, Unified Data Platform processing 4M+ meters hourly, and a new CTO from McKinsey/Coca-Cola hired February 2026 to lead AI initiatives [2]. Market Share (1/2): Leading utility in renewable energy adoption with significant wind and solar portfolio, but faces intense competition from NextEra and other utilities for data center load [1]. Pipeline (1/2): $60B+ five-year capital investment plan, 765 kV transmission project in SPP ($1.5B), and partnerships with GE Vernova and Fermi America for AI campus power (200 MW) [1]. R&amp;D Intensity (1/1): Continuous grid modernization and technology investment via McKinsey collaboration and digital twin deployment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Xcel's clean energy leadership and commitment to carbon-free electricity by 2050 provide a strong purpose-driven foundation, validated by Fortune's World's Most Admired Companies recognition for 12 consecutive years, ranking first in social responsibility among U.S. utilities [2]. Community Impact (2/2): Serving 5.8M+ customers across eight states, employing 11,534, and investing $12B in infrastructure in 2025 alone creates substantial community economic impact [1]. Employee Retention (0/2): Glassdoor rating of 3.2/5 is below the utility industry average (3.7), with employees citing 'lost trust in leadership,' burnout from operating lean, and 'tone-deaf' return-to-office mandates; culture rated 2.9/5 [2]. Insider Buying (1/2): CEO Frenzel's $12.9M compensation is average for the utility sector, with 89% stock-based, providing alignment, but employee trust deficit weakens inspiration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Xcel's regulated utility model provides earnings visibility: forward P/E of 17.6x is attractive for a utility growing EPS at 6-8% annually [1]. D/E of 152.8% is elevated but typical for capital-intensive regulated utilities with assured rate recovery. ROE of 9.4% is modest but improving as new rate base earns approved returns. Profit margin of 13.8% with gross margins of 45.7% reflect regulated pricing power [4]. Revenue growth of 14.1% YoY is strong for a utility, driven by rate base expansion and data center demand. Dividend yield of 3.0% with 66.7% payout ratio and 21+ years of consecutive increases provides income reliability [4]. Free cash flow is negative (-$7.0B) due to massive capital investment cycle, typical of growth-phase utilities. Liquidity floor: 5.0M avg vol x $79.44 = $397M, easily cleared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Xcel Energy demonstrates infinite game thinking through its long-term clean energy transition, 21 consecutive years of meeting guidance, and massive infrastructure investment for future demand. However, wildfire liability exposure, employee trust deficits, and the tension between ESG ambitions and infrastructure maintenance reveal finite-game pressures that limit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Xcel's commitment to carbon-free electricity by 2050 and its position as a clean energy leader provide a durable just cause that transcends quarterly earnings [1]. Being named Fortune's Most Admired Company for social responsibility 12 consecutive years validates stakeholder commitment. The $60B+ investment plan represents genuine long-term infrastructure building.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3.2/5 with culture at 2.9/5 reveals significant trust gaps [2]. Employees describe 'lost trust in leadership,' 'tone-deaf' hybrid work mandates, burnout from cost containment, and 6-8 hours of daily meetings preventing productive work. The executive team ranks in the bottom 30% per Comparably. New CTO hire from McKinsey/Coca-Cola signals modernization intent but cannot quickly fix cultural issues.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Xcel competes with NextEra Energy, Duke Energy, and Southern Company for data center load and clean energy leadership [1]. The NextEra partnership for co-developing data center generation shows willingness to collaborate rather than purely compete. Xcel's geographic footprint in wind-rich states provides a natural competitive advantage in renewables.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pivot from traditional regulated utility to AI-economy infrastructure enabler represents significant existential flexibility [2]. Xcel's $60B capital plan, data center partnerships, and AI integration across operations show a company reimagining its role. The shift from purely serving residential customers to becoming critical data center infrastructure demonstrates adaptive thinking.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Xcel was among the first major utilities to commit to carbon-free electricity, showing early climate leadership [1]. However, the Smokehouse Creek wildfire controversy — with aging utility poles up to 100 years old — raises questions about whether ESG ambitions came at the expense of basic infrastructure maintenance [3]. Taking responsibility for the fire while disputing negligence shows partial accountability.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Xcel Energy is a well-managed regulated utility delivering consistent earnings growth — 21 consecutive years meeting or exceeding guidance, with 2025 ongoing EPS of $3.80 (up 8.6%) and 2026 guidance of $4.04-$4.16 [1]. The company is uniquely positioned for the AI data center boom with a $60B+ five-year capital plan, partnerships with Fermi America (200 MW AI campus) and GE Vernova, and a 765 kV transmission project adding $1.5B in rate base [1]. At 17.6x forward P/E with 3.0% dividend yield and 6-8% annual EPS growth, Xcel offers attractive risk-adjusted returns for income-oriented investors. Revenue is projected to reach $21.1B by 2030 from $14.7B today, driven by rate base expansion and data center demand [1].</w:t>
      </w:r>
    </w:p>
    <w:p>
      <w:pPr>
        <w:spacing w:after="120"/>
      </w:pPr>
      <w:r>
        <w:rPr>
          <w:rFonts w:ascii="Calibri" w:hAnsi="Calibri"/>
          <w:b w:val="0"/>
          <w:color w:val="3A4A28"/>
          <w:sz w:val="20"/>
        </w:rPr>
        <w:t>The primary risks center on wildfire liability and regulatory exposure. The Smokehouse Creek fire — which burned 1M+ acres in the Texas Panhandle — has generated $1B+ in potential damages, with Texas AG Paxton alleging neglected infrastructure maintenance in favor of ESG spending [3]. The Marshall Fire settlement in Colorado adds additional financial burden. Xcel's $36B total debt (D/E 153%) and negative free cash flow (-$7.0B) from the capital-intensive investment cycle create refinancing risk if interest rates remain elevated. Employee morale issues (Glassdoor 3.2/5, culture 2.9/5) threaten execution of the ambitious growth plan [2]. The anti-ESG political environment in Texas and other conservative states could complicate regulatory approvals for clean energy investments. Success depends on regulators approving rate increases to recover the massive capital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6 GW of potential new load, transforming Xcel from steady-state utility to high-growth infrastructure enabler with partnerships including Fermi America and NextEra Energy [1][2]</w:t>
      </w:r>
    </w:p>
    <w:p>
      <w:pPr>
        <w:spacing w:before="40" w:after="40"/>
        <w:ind w:left="283"/>
      </w:pPr>
      <w:r>
        <w:rPr>
          <w:rFonts w:ascii="Calibri" w:hAnsi="Calibri"/>
          <w:b/>
          <w:color w:val="4A6B25"/>
          <w:sz w:val="20"/>
        </w:rPr>
        <w:t xml:space="preserve">2. </w:t>
      </w:r>
      <w:r>
        <w:rPr>
          <w:rFonts w:ascii="Calibri" w:hAnsi="Calibri"/>
          <w:b w:val="0"/>
          <w:color w:val="3A4A28"/>
          <w:sz w:val="20"/>
        </w:rPr>
        <w:t>$60B+ five-year capital plan with $10B incremental pipeline and 765 kV SPP transmission project ($1.5B) expanding regulated rate base and earnings power [1]</w:t>
      </w:r>
    </w:p>
    <w:p>
      <w:pPr>
        <w:spacing w:before="40" w:after="40"/>
        <w:ind w:left="283"/>
      </w:pPr>
      <w:r>
        <w:rPr>
          <w:rFonts w:ascii="Calibri" w:hAnsi="Calibri"/>
          <w:b/>
          <w:color w:val="4A6B25"/>
          <w:sz w:val="20"/>
        </w:rPr>
        <w:t xml:space="preserve">3. </w:t>
      </w:r>
      <w:r>
        <w:rPr>
          <w:rFonts w:ascii="Calibri" w:hAnsi="Calibri"/>
          <w:b w:val="0"/>
          <w:color w:val="3A4A28"/>
          <w:sz w:val="20"/>
        </w:rPr>
        <w:t>2026 EPS guidance of $4.04-$4.16 representing 6-9% growth, with long-term 6-8%+ EPS and 4-6% dividend growth objectives providing earnings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Smokehouse Creek wildfire liability — $1B+ potential damages, Texas AG lawsuit alleging infrastructure negligence, with additional Marshall Fire exposure in Colorado [3]</w:t>
      </w:r>
    </w:p>
    <w:p>
      <w:pPr>
        <w:spacing w:before="40" w:after="40"/>
        <w:ind w:left="283"/>
      </w:pPr>
      <w:r>
        <w:rPr>
          <w:rFonts w:ascii="Calibri" w:hAnsi="Calibri"/>
          <w:b/>
          <w:color w:val="4A6B25"/>
          <w:sz w:val="20"/>
        </w:rPr>
        <w:t xml:space="preserve">2. </w:t>
      </w:r>
      <w:r>
        <w:rPr>
          <w:rFonts w:ascii="Calibri" w:hAnsi="Calibri"/>
          <w:b w:val="0"/>
          <w:color w:val="3A4A28"/>
          <w:sz w:val="20"/>
        </w:rPr>
        <w:t>Capital intensity and refinancing risk — $36B total debt, negative free cash flow of -$7.0B, and $60B capital plan requiring sustained regulatory approval for rate recovery [1][4]</w:t>
      </w:r>
    </w:p>
    <w:p>
      <w:pPr>
        <w:spacing w:before="40" w:after="40"/>
        <w:ind w:left="283"/>
      </w:pPr>
      <w:r>
        <w:rPr>
          <w:rFonts w:ascii="Calibri" w:hAnsi="Calibri"/>
          <w:b/>
          <w:color w:val="4A6B25"/>
          <w:sz w:val="20"/>
        </w:rPr>
        <w:t xml:space="preserve">3. </w:t>
      </w:r>
      <w:r>
        <w:rPr>
          <w:rFonts w:ascii="Calibri" w:hAnsi="Calibri"/>
          <w:b w:val="0"/>
          <w:color w:val="3A4A28"/>
          <w:sz w:val="20"/>
        </w:rPr>
        <w:t>Employee trust deficit — Glassdoor 3.2/5 with culture at 2.9/5, executive team in bottom 30% per Comparably, risking execution of ambitious technology and growth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Xcel Energy is positioned as a primary enabler of the AI economy rather than a target of disruption — data centers require massive electricity supply that only utilities can provide, creating a structural demand tailwind [2]. The company's partnerships with Fermi America (200 MW AI campus), NextEra Energy (co-developed generation for data centers), and GE Vernova (grid modernization) demonstrate strategic positioning. AI-powered wildfire detection, digital twin technology, and predictive maintenance improve operational efficiency and reduce liability risk. AI Opportunity (1/1): The exponential growth in AI data center electricity demand (targeting 6 GW) represents a generational growth driver for regulated utilities, transforming Xcel from a steady-state utility into a high-growth infrastructure enabler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Xcel Energy Q4 2025 / Full Year 2025 Earnings Release — $3.80 ongoing EPS, $14.7B revenue, 2026 guidance $4.04-$4.16,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Comparably executive ratings, EnkiAI AI strategy analysis, EY digital twin case study, Fortune Most Admired Companies 2026</w:t>
      </w:r>
    </w:p>
    <w:p>
      <w:pPr>
        <w:spacing w:before="20" w:after="20"/>
        <w:ind w:left="170"/>
      </w:pPr>
      <w:r>
        <w:rPr>
          <w:rFonts w:ascii="Calibri" w:hAnsi="Calibri"/>
          <w:b/>
          <w:color w:val="4A6B25"/>
          <w:sz w:val="15"/>
        </w:rPr>
        <w:t xml:space="preserve">3. </w:t>
      </w:r>
      <w:r>
        <w:rPr>
          <w:rFonts w:ascii="Calibri" w:hAnsi="Calibri"/>
          <w:b w:val="0"/>
          <w:color w:val="3A4A28"/>
          <w:sz w:val="17"/>
        </w:rPr>
        <w:t>Texas AG Paxton lawsuit, Smokehouse Creek Fire investigation, Bloomberg and Insurance Journal wildfire coverage, August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XEL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