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XENE</w:t>
      </w:r>
      <w:r>
        <w:rPr>
          <w:rFonts w:ascii="Calibri" w:hAnsi="Calibri"/>
          <w:b/>
          <w:color w:val="1A2010"/>
          <w:sz w:val="40"/>
        </w:rPr>
        <w:t xml:space="preserve">  Xenon Pharmaceuticals Inc.</w:t>
      </w:r>
    </w:p>
    <w:p>
      <w:pPr>
        <w:spacing w:after="120"/>
      </w:pPr>
      <w:r>
        <w:rPr>
          <w:rFonts w:ascii="Calibri" w:hAnsi="Calibri"/>
          <w:b/>
          <w:color w:val="6E8450"/>
          <w:sz w:val="18"/>
        </w:rPr>
        <w:t>GROWTH SLEEVE · 2026-04-28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Canada</w:t>
      </w:r>
    </w:p>
    <w:p>
      <w:pPr>
        <w:spacing w:after="80"/>
      </w:pPr>
      <w:r>
        <w:rPr>
          <w:rFonts w:ascii="Calibri" w:hAnsi="Calibri"/>
          <w:b w:val="0"/>
          <w:color w:val="3A4A28"/>
          <w:sz w:val="20"/>
        </w:rPr>
        <w:t>Xenon Pharmaceuticals is a clinical-stage biopharmaceutical company focused on developing therapeutics for neurological and psychiatric disorders. The company's lead asset, azetukalner (XEN1101), is a potassium channel modulator in Phase 3 development for epilepsy and major depressive disorder, with best-in-class efficacy data and an NDA submission planned for Q3 2026. Xenon also has an early-stage pain pipeline targeting NaV1.7 and KV7 pathways.</w:t>
      </w:r>
    </w:p>
    <w:p>
      <w:r>
        <w:rPr>
          <w:rFonts w:ascii="Calibri" w:hAnsi="Calibri"/>
          <w:b/>
          <w:color w:val="6E8450"/>
          <w:sz w:val="18"/>
        </w:rPr>
        <w:t>358 Employees · https://www.xenon-pharma.com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Xenon has successfully advanced azetukalner from preclinical through Phase 3 with what analysts call 'best-in-class' efficacy data — the X-TOLE2 Phase 3 trial delivered the highest placebo-adjusted efficacy ever observed in a pivotal epilepsy study, and the stock soared 31.7% on the readout [1][2]. The company evolved from an ion channel genetics platform into a focused CNS therapeutics company with a clear commercial pathway. AI Deployment (0/2): No evidence of AI deployment in drug discovery, clinical operations, or internal processes at Xenon. The company relies on traditional structure-based drug design leveraging its ion channel expertise rather than AI-driven approaches [2]. Market Share (2/2): If approved, azetukalner would be the first novel anti-seizure mechanism approved in over a decade, positioning Xenon to define a new category in epilepsy treatment. The Phase 3 data showing best-in-class efficacy gives Xenon a potential first-mover advantage in KV7 channel modulation for CNS disorders [1]. Product Pipeline (2/2): Highly visible pipeline — NDA submission for azetukalner in epilepsy planned Q3 2026, five additional Phase 3 trials running (global epilepsy, MDD, bipolar depression), plus Phase 1 data expected in 2026 for pain assets XEN1701 (NaV1.7) and XEN1120 (KV7) [1]. R&amp;D Intensity (1/1): As a clinical-stage biotech, essentially 100% of operating expenses (~$280M annually) fund R&amp;D, far above any industry benchmark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Xenon's purpose — 'Advancing Neurology Therapies' and 'forging a new path for people with neurological and psychiatric conditions' — is clear and identifies a meaningful purpose connecting the company's science to patient outcomes, but it is a standard articulation for a neurology-focused biotech and not distinctively transformative [2]. Community Impact (1/2): Xenon's XenonCARES program invests in employee wellness and community engagement, and the company's work on epilepsy and depression addresses significant unmet medical needs affecting millions of patients. However, specific charitable programs or dollar amounts for community investment are not prominently disclosed [2]. Employee Retention (1/2): CEO Ian Mortimer has led since 2021, following an orderly transition from co-founder Simon Pimstone to Executive Chair. The addition of COO Matthew Ronsheim and board expansion with Gillian Cannon and Justin Gover demonstrates deliberate leadership team building [2]. With only 358 employees, the company maintains a focused team, but specific retention data is unavailable. Insider Buying (1/2): Following the positive Phase 3 readout, Xenon raised $750M in equity, with insider participation details not specifically disclosed but equity-based compensation aligning management interests.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Xenon is a pre-revenue clinical-stage biotech with fundamentally different financial characteristics than commercial-stage companies. D/E of 1.4% is essentially debt-free, scoring perfectly on leverage — the company holds $1.3B+ in total liquidity against minimal debt [1][4]. However, ROE of -51.8% reflects the $345.9M net loss in FY2025, which is expected for a company investing heavily in Phase 3 clinical trials. Profit margin is 0% on negligible revenue ($7.5M in FY2025, primarily milestone payments). Revenue growth, forward P/E, and PEG metrics are all excluded as not meaningful for a pre-revenue biotech — these metrics are designed for commercial businesses and do not capture the value of a clinical pipeline. Liquidity is adequate at $73M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Xenon demonstrates moderate infinite game characteristics through its two-decade commitment to ion channel biology and patient-focused mission in epilepsy and depression. The orderly leadership transition from co-founder Pimstone to CEO Mortimer preserved scientific continuity, and the company's willingness to invest through years of losses reflects long-term thinking. However, as a clinical-stage biotech, the company's endurance depends on binary clinical trial outcomes and its ability to successfully commercialize azetukalner.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Xenon's cause — developing transformative therapies for people with neurological and psychiatric conditions through ion channel science — is genuine and connects the company's work to meaningful patient outcomes. Epilepsy affects 50 million people globally, and azetukalner's best-in-class efficacy data could represent a meaningful advance for patients who remain uncontrolled on existing therapies [1]. The company has maintained this focus for over 20 years since founding, surviving through periods when ion channel targets were unfashionable in pharma. However, the cause hasn't yet been validated through commercial execution. Score: 2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Xenon demonstrates adequate organizational trust for a small biotech. The leadership transition from co-founder Pimstone to CEO Mortimer in 2021 was orderly, with Pimstone moving to Executive Chair to preserve institutional knowledge [2]. The XenonCARES program explicitly focuses on employee empowerment, wellness, and community, and the company describes a 'respectful, collaborative, inclusive, and productive culture' [2]. With only 358 employees, the company maintains a small-team culture. However, limited public data exists on retention metrics or employee sentiment.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Xenon competes against established epilepsy players (UCB, SK Life Science) and other CNS biotechs without framing competition in destructive terms. Management acknowledges the competitive landscape and positions azetukalner based on its own clinical data merits rather than attacking competitors' weaknesses [1].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Xenon evolved from a genetics discovery platform into a focused CNS therapeutics company, representing meaningful strategic evolution. The expansion from epilepsy into mood disorders and pain represents an attempt to build a broader neurology platform from the same ion channel science foundation [1]. However, the company has not yet faced an existential test requiring abandonment of its core approach — it has consistently bet on ion channel biology throughout its history. For a clinical-stage biotech, the real test of existential flexibility would be how it responds if azetukalner fails or faces unexpected competition.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Xenon has demonstrated courage by maintaining its focus on ion channel biology through two decades of pre-revenue operations, accumulating over $880M in net losses to advance its pipeline [4]. The decision to expand into mood disorders (MDD, bipolar depression) with azetukalner represents a bet on the breadth of the KV7 mechanism rather than a narrow epilepsy focus. The $750M equity raise following positive Phase 3 data shows willingness to invest aggressively at a critical inflection point [1]. However, these decisions are consistent with standard biotech risk-taking rather than uniquely courageous strategic choices.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Xenon Pharmaceuticals is approaching a critical value inflection point with azetukalner's NDA submission planned for Q3 2026 following best-in-class Phase 3 epilepsy data — the X-TOLE2 trial delivered the highest placebo-adjusted efficacy ever observed in a pivotal seizure study, positioning the drug as a potential first-in-class KV7 modulator [1]. With $1.3B+ in total liquidity and a cash runway extending into 2028, Xenon is fully funded through commercialization without dilution risk. The pipeline extends well beyond epilepsy — five Phase 3 trials are running across global epilepsy, major depressive disorder, and bipolar depression, plus early-stage pain assets (XEN1701, XEN1120) expected to report Phase 1 data in 2026, giving Xenon a platform approach to CNS disorders [1]. At $5.2B market cap, the risk/reward is attractive if azetukalner achieves even a fraction of the $3-5B peak sales estimates that analysts project for a best-in-class epilepsy therapy with mood disorder expansion potential.</w:t>
      </w:r>
    </w:p>
    <w:p>
      <w:pPr>
        <w:spacing w:after="120"/>
      </w:pPr>
      <w:r>
        <w:rPr>
          <w:rFonts w:ascii="Calibri" w:hAnsi="Calibri"/>
          <w:b w:val="0"/>
          <w:color w:val="3A4A28"/>
          <w:sz w:val="20"/>
        </w:rPr>
        <w:t>The bear case centers on binary clinical and regulatory risk inherent to pre-revenue biotechs. Despite positive Phase 3 data, FDA review could raise unexpected safety or manufacturing concerns that delay or deny approval, and the NDA submission planned for Q3 2026 is not yet filed [1]. Xenon lost $345.9M in FY2025 and $234.3M in FY2024, with no meaningful revenue ($7.5M in FY2025) and ROE of -51.8% — the Infrastructure score of 2 reflects a company with no financial foundation beyond its cash reserves [4]. The $750M equity raise diluted existing shareholders, and if azetukalner fails commercially, the share count expansion would amplify losses. Competition in epilepsy is intensifying, and larger pharma companies (UCB, Johnson &amp; Johnson) have greater commercial infrastructure for physician detailing. The mood disorder expansion (MDD, bipolar depression) faces fierce competition from established treatments and other novel mechanisms. As a 358-person company, Xenon must build an entire commercial organization from scratch or partner for launch, creating execution risk during the most critical phase of its corporate life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Azetukalner NDA submission planned Q3 2026 for focal-onset epilepsy, following best-in-class Phase 3 X-TOLE2 data showing highest placebo-adjusted efficacy in a pivotal seizure study [1]</w:t>
      </w:r>
    </w:p>
    <w:p>
      <w:pPr>
        <w:spacing w:before="40" w:after="40"/>
        <w:ind w:left="283"/>
      </w:pPr>
      <w:r>
        <w:rPr>
          <w:rFonts w:ascii="Calibri" w:hAnsi="Calibri"/>
          <w:b/>
          <w:color w:val="4A6B25"/>
          <w:sz w:val="20"/>
        </w:rPr>
        <w:t xml:space="preserve">2. </w:t>
      </w:r>
      <w:r>
        <w:rPr>
          <w:rFonts w:ascii="Calibri" w:hAnsi="Calibri"/>
          <w:b w:val="0"/>
          <w:color w:val="3A4A28"/>
          <w:sz w:val="20"/>
        </w:rPr>
        <w:t>Five additional Phase 3 trials running across global epilepsy, MDD, and bipolar depression, providing multiple shots on goal for the KV7 platform beyond the initial epilepsy indication [1]</w:t>
      </w:r>
    </w:p>
    <w:p>
      <w:pPr>
        <w:spacing w:before="40" w:after="40"/>
        <w:ind w:left="283"/>
      </w:pPr>
      <w:r>
        <w:rPr>
          <w:rFonts w:ascii="Calibri" w:hAnsi="Calibri"/>
          <w:b/>
          <w:color w:val="4A6B25"/>
          <w:sz w:val="20"/>
        </w:rPr>
        <w:t xml:space="preserve">3. </w:t>
      </w:r>
      <w:r>
        <w:rPr>
          <w:rFonts w:ascii="Calibri" w:hAnsi="Calibri"/>
          <w:b w:val="0"/>
          <w:color w:val="3A4A28"/>
          <w:sz w:val="20"/>
        </w:rPr>
        <w:t>Phase 1 data expected in 2026 for pain assets XEN1701 (NaV1.7 inhibitor) and XEN1120 (KV7 modulator), potentially expanding the addressable market into chronic pain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FDA regulatory risk — azetukalner NDA not yet filed, and unexpected safety, manufacturing, or efficacy concerns during review could delay or deny approval despite strong Phase 3 data [1]</w:t>
      </w:r>
    </w:p>
    <w:p>
      <w:pPr>
        <w:spacing w:before="40" w:after="40"/>
        <w:ind w:left="283"/>
      </w:pPr>
      <w:r>
        <w:rPr>
          <w:rFonts w:ascii="Calibri" w:hAnsi="Calibri"/>
          <w:b/>
          <w:color w:val="4A6B25"/>
          <w:sz w:val="20"/>
        </w:rPr>
        <w:t xml:space="preserve">2. </w:t>
      </w:r>
      <w:r>
        <w:rPr>
          <w:rFonts w:ascii="Calibri" w:hAnsi="Calibri"/>
          <w:b w:val="0"/>
          <w:color w:val="3A4A28"/>
          <w:sz w:val="20"/>
        </w:rPr>
        <w:t>Pre-revenue biotech with $345.9M annual net loss, no commercial infrastructure, and dependence on $1.3B cash reserves that must fund both clinical development and commercial launch [4]</w:t>
      </w:r>
    </w:p>
    <w:p>
      <w:pPr>
        <w:spacing w:before="40" w:after="40"/>
        <w:ind w:left="283"/>
      </w:pPr>
      <w:r>
        <w:rPr>
          <w:rFonts w:ascii="Calibri" w:hAnsi="Calibri"/>
          <w:b/>
          <w:color w:val="4A6B25"/>
          <w:sz w:val="20"/>
        </w:rPr>
        <w:t xml:space="preserve">3. </w:t>
      </w:r>
      <w:r>
        <w:rPr>
          <w:rFonts w:ascii="Calibri" w:hAnsi="Calibri"/>
          <w:b w:val="0"/>
          <w:color w:val="3A4A28"/>
          <w:sz w:val="20"/>
        </w:rPr>
        <w:t>Commercial execution risk as a 358-person company building sales and marketing capabilities from scratch against established epilepsy players with greater physician relationships and distribution reach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Xenon's core business — developing novel therapeutics targeting ion channel biology for neurological and psychiatric disorders — is well protected from AI disruption. Drug development requires extensive physical clinical trials, FDA regulatory approval, and manufacturing of biological compounds that AI cannot replace. The company's competitive advantage lies in deep expertise in potassium and sodium channel biology developed over two decades, creating intellectual property barriers [1]. While AI is increasingly used in drug discovery (which could theoretically help competitors identify similar targets faster), Xenon's advanced clinical-stage assets and proprietary ion channel platform provide meaningful protection. The regulatory moat of Phase 3 clinical data and patent protection creates barriers that AI alone cannot overcome. AI Opportunity (0/1): Xenon does not generate any AI-related revenue and has not disclosed the use of AI in its drug discovery or clinical development processes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Xenon Pharmaceuticals 2026 Pipeline Update — Azetukalner Phase 3 X-TOLE2 best-in-class data, NDA submission Q3 2026, $750M equity raise, five Phase 3 trials, pain pipeline Phase 1; TipRanks, SimplyWallSt, FierceBiotech, March 2026</w:t>
      </w:r>
    </w:p>
    <w:p>
      <w:pPr>
        <w:spacing w:before="20" w:after="20"/>
        <w:ind w:left="170"/>
      </w:pPr>
      <w:r>
        <w:rPr>
          <w:rFonts w:ascii="Calibri" w:hAnsi="Calibri"/>
          <w:b/>
          <w:color w:val="4A6B25"/>
          <w:sz w:val="15"/>
        </w:rPr>
        <w:t xml:space="preserve">2. </w:t>
      </w:r>
      <w:r>
        <w:rPr>
          <w:rFonts w:ascii="Calibri" w:hAnsi="Calibri"/>
          <w:b w:val="0"/>
          <w:color w:val="3A4A28"/>
          <w:sz w:val="17"/>
        </w:rPr>
        <w:t>Xenon Pharmaceuticals Leadership and Culture — CEO Ian Mortimer since 2021, co-founder Pimstone as Executive Chair, COO Matthew Ronsheim, XenonCARES program, 358 employees; Xenon-Pharma.com, Investor Relations, 2025-2026</w:t>
      </w:r>
    </w:p>
    <w:p>
      <w:pPr>
        <w:spacing w:before="20" w:after="20"/>
        <w:ind w:left="170"/>
      </w:pPr>
      <w:r>
        <w:rPr>
          <w:rFonts w:ascii="Calibri" w:hAnsi="Calibri"/>
          <w:b/>
          <w:color w:val="4A6B25"/>
          <w:sz w:val="15"/>
        </w:rPr>
        <w:t xml:space="preserve">3. </w:t>
      </w:r>
      <w:r>
        <w:rPr>
          <w:rFonts w:ascii="Calibri" w:hAnsi="Calibri"/>
          <w:b w:val="0"/>
          <w:color w:val="3A4A28"/>
          <w:sz w:val="17"/>
        </w:rPr>
        <w:t>Xenon Pharmaceuticals ESG — Sustainalytics Average risk rating, clinical trial safety standards, Human Rights Policy; CSRHub, Sustainalytics, SEC filings,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XENE (Xenon Pharmaceuticals),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