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XPRO</w:t>
      </w:r>
      <w:r>
        <w:rPr>
          <w:rFonts w:ascii="Calibri" w:hAnsi="Calibri"/>
          <w:b/>
          <w:color w:val="1A2010"/>
          <w:sz w:val="40"/>
        </w:rPr>
        <w:t xml:space="preserve">  Expro Group Holdings N.V.</w:t>
      </w:r>
    </w:p>
    <w:p>
      <w:pPr>
        <w:spacing w:after="120"/>
      </w:pPr>
      <w:r>
        <w:rPr>
          <w:rFonts w:ascii="Calibri" w:hAnsi="Calibri"/>
          <w:b/>
          <w:color w:val="6E8450"/>
          <w:sz w:val="18"/>
        </w:rPr>
        <w:t>GROWTH SLEEVE · 2026-05-03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Expro Group provides energy services globally across well construction (tubular running, cementing, drilling, wellbore cleanup) and well management (flow management, subsea well access, intervention and integrity). The company serves exploration and production companies in onshore and offshore environments across North/Latin America, Europe/Sub-Saharan Africa, MENA, and Asia-Pacific. Founded in 1938, headquartered in Houston, Texas.</w:t>
      </w:r>
    </w:p>
    <w:p>
      <w:r>
        <w:rPr>
          <w:rFonts w:ascii="Calibri" w:hAnsi="Calibri"/>
          <w:b/>
          <w:color w:val="6E8450"/>
          <w:sz w:val="18"/>
        </w:rPr>
        <w:t>8,500 Employees · https://www.expro.com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Expro completed the transformative merger with Frank's International in 2021, creating a combined well construction and well management platform that significantly expanded revenue from $731M (2021 standalone) to $1.6B+ [1]. The integration has been executed successfully, with the combined entity delivering margin expansion to 22% adjusted EBITDA margins by 2025 [1]. AI Deployment (2/2): Expro has deployed AI-enabled technologies in the field — the iTONG system uses AI to automate tubular connection makeup, reducing connection times by 50% and saving approximately 15 hours of rig time per month. The iCAM Connection Analyzed Make-up System applies machine learning for automated evaluation of connection data [2]. Market Share (1/2): Expro is a meaningful participant in the $150B+ oilfield services market, particularly strong in well flow management and subsea well access, though it competes against much larger players like SLB, Halliburton, and Baker Hughes [1]. Pipeline (0/2): Revenue is guided flat for 2026 at $1.6-$1.65B, with the focus on margin expansion rather than top-line growth; no transformative next-gen products with specific launch timelines were announced [1]. R&amp;D Intensity (1/1): Expro invests in proprietary downhole tools, AI-enabled tubular running technology, and subsea intervention systems, maintaining above-average innovation for the oilfield services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Expro's purpose — 'unlocking energy answers of tomorrow' — is thoughtful and forward-looking, connecting current operations to a broader energy transition vision, but it has not been validated over decades of consistent execution under this articulation [3]. Community Impact (1/2): Expro publishes annual sustainability reviews and has reduced Scope 1 and 2 GHG emissions by 25.2% from its 2021 baseline; MSCI upgraded Expro's sustainability rating from BB to A in 2022 [3]. Employee Retention (1/2): Glassdoor ratings of 3.9 stars (4.2 in the US) with employees citing that 'leadership cares about employees' suggest adequate culture, though some reviews note advancement concerns and communication gaps typical of the oilfield services industry [2]. Insider Buying (1/2): CEO Michael Jardon's $6.96M annual compensation is significantly tied to performance bonuses and stock, aligning interests with shareholders, though no evidence of open-market insider purchases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Expro's balance sheet is remarkably conservative for oilfield services with D/E of just 11.0% ($168M debt vs. $196M cash — essentially net cash), scoring perfectly against the 70% target [4]. Forward P/E of 16.3x is favorable against the 20x target, and the PEG ratio of 0.74 is excellent at below 1.0, suggesting the market undervalues Expro's earnings growth trajectory [4]. However, ROE of 3.4% is very low against the 15% target, reflecting the thin 3.2% profit margin that is characteristic of the capital-intensive oilfield services business [4]. Revenue declined 12.5% YoY (from $1.71B to $1.61B) as OPEC+ production adjustments and market cyclicality weighed on the business, scoring poorly against the 10% growth target [1]. The company generated $148M in free cash flow in 2025, demonstrating operational cash conversion despite the revenue headwinds. Liquidity floor cleared: 1.16M avg volume × $18.04 = $20.9M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Expro is an 88-year-old company (founded 1938) that has endured through multiple oil price cycles, demonstrating organizational resilience. The 2021 merger with Frank's International was a significant strategic bet on building a comprehensive well lifecycle platform. CEO Jardon's focus on margin expansion and free cash flow generation over revenue growth shows financial discipline, and the company's AI-enabled tool deployment suggests innovation commitment. However, the cyclical nature of oilfield services inherently creates finite game pressures — activity levels are dictated by commodity prices and OPEC+ decisions rather than company strategy.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Expro's articulated purpose — 'unlocking energy answers of tomorrow' — attempts to connect current oilfield services to the broader energy transition, which is more ambitious than a typical oil services company mission [3]. However, the cause is relatively new in its current form and has not been tested through decades of execution. The 2021 Frank's International merger was driven by industrial logic (scale, complementary capabilities) rather than a Just Cause-driven transformation.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ratings of 3.9 stars (4.2 in the US) are above average for oilfield services, with employees citing leadership that 'cares about employees' [2]. The successful integration of Frank's International into Expro — combining two organizations with different cultures — without major talent exodus suggests reasonable organizational trust. However, some reviews note concerns about advancement opportunities and internal communication, reflecting typical oilfield services industry challenges.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Expro operates alongside significantly larger rivals — SLB, Halliburton, and Baker Hughes — and the company's investment in differentiated technology (iTONG, iCAM AI systems) suggests it uses competitive pressure from these industry leaders to drive innovation rather than competing purely on price [2]. The focus on technology-enabled services as a differentiator against larger-scale competitors reflects competitive learning.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2021 merger with Frank's International transformed Expro from a well flow management specialist into a comprehensive well construction and management platform, representing meaningful strategic evolution [1]. However, the company remains within the oilfield services sector and has not made a transformative bet outside its core domain. The 'energy answers of tomorrow' positioning hints at energy transition flexibility but no concrete pivot has been executed.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Management's 2026 strategy of prioritizing margin expansion and free cash flow generation ($125-$145M guided) over revenue growth when revenue is declining 12.5% shows discipline — resisting the temptation to chase unprofitable revenue to maintain scale [1]. The investment in AI-enabled tools (iTONG, iCAM) during a cyclical downturn demonstrates willingness to invest for long-term capability. However, no evidence of dramatically counter-cyclical bets or principled exits from profitable but misaligned business lines was found.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Expro trades at a PEG ratio of 0.74 and forward P/E of 16.3x with an essentially net-cash balance sheet ($196M cash vs. $168M debt, D/E of just 11%) — an unusual financial profile for oilfield services [4]. The company delivered 22% adjusted EBITDA margins in 2025 (170bps YoY expansion) and guides $355-$375M EBITDA with $125-$145M free cash flow for 2026, demonstrating operational excellence even as revenue softens [1]. The $2.5B backlog (8.5% sequential increase in Q4) provides revenue visibility, while AI-enabled products like iTONG (50% reduction in connection times) and iCAM create technology differentiation against larger competitors [2]. The 2021 Frank's International merger created a comprehensive well lifecycle platform that is proving its value in the current market. At $2.05B market cap with $148M annual FCF, the stock offers a 7.2% free cash flow yield with margin expansion optionality.</w:t>
      </w:r>
    </w:p>
    <w:p>
      <w:pPr>
        <w:spacing w:after="120"/>
      </w:pPr>
      <w:r>
        <w:rPr>
          <w:rFonts w:ascii="Calibri" w:hAnsi="Calibri"/>
          <w:b w:val="0"/>
          <w:color w:val="3A4A28"/>
          <w:sz w:val="20"/>
        </w:rPr>
        <w:t>The bear case centers on Expro's cyclical exposure to oil and gas capital spending. Revenue declined 12.5% YoY as OPEC+ production adjustments, geopolitical uncertainty, and potential demand destruction from the energy transition weigh on upstream E&amp;P activity [1][4]. Profit margin of 3.2% and ROE of 3.4% are extremely thin, meaning small revenue declines translate into disproportionate earnings impacts — TTM EPS fell 74.8% despite only 12.5% revenue decline [4]. The trailing P/E of 40x (vs. 16x forward) reflects this earnings compression. Expro competes against significantly larger, better-capitalized rivals (SLB $65B market cap, Halliburton $26B) that can offer integrated services and leverage scale advantages. Long-term energy transition risk could structurally reduce demand for oilfield services, though the timeline is decades. The stock's 52-week range ($7.57-$18.73) highlights extreme volatility, and the company remains at the mercy of commodity price cycles and OPEC+ decisions that are entirely outside management's control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EBITDA margin expansion toward 23-24% in 2026 (from 22% in 2025), driven by Frank's International synergies and operational efficiency improvements on the $1.6-$1.65B revenue base [1]</w:t>
      </w:r>
    </w:p>
    <w:p>
      <w:pPr>
        <w:spacing w:before="40" w:after="40"/>
        <w:ind w:left="283"/>
      </w:pPr>
      <w:r>
        <w:rPr>
          <w:rFonts w:ascii="Calibri" w:hAnsi="Calibri"/>
          <w:b/>
          <w:color w:val="4A6B25"/>
          <w:sz w:val="20"/>
        </w:rPr>
        <w:t xml:space="preserve">2. </w:t>
      </w:r>
      <w:r>
        <w:rPr>
          <w:rFonts w:ascii="Calibri" w:hAnsi="Calibri"/>
          <w:b w:val="0"/>
          <w:color w:val="3A4A28"/>
          <w:sz w:val="20"/>
        </w:rPr>
        <w:t>AI-enabled oilfield services technology (iTONG, iCAM) gaining market share by delivering quantifiable rig time savings and safety improvements, creating pricing power vs. commodity-service competitors [2]</w:t>
      </w:r>
    </w:p>
    <w:p>
      <w:pPr>
        <w:spacing w:before="40" w:after="40"/>
        <w:ind w:left="283"/>
      </w:pPr>
      <w:r>
        <w:rPr>
          <w:rFonts w:ascii="Calibri" w:hAnsi="Calibri"/>
          <w:b/>
          <w:color w:val="4A6B25"/>
          <w:sz w:val="20"/>
        </w:rPr>
        <w:t xml:space="preserve">3. </w:t>
      </w:r>
      <w:r>
        <w:rPr>
          <w:rFonts w:ascii="Calibri" w:hAnsi="Calibri"/>
          <w:b w:val="0"/>
          <w:color w:val="3A4A28"/>
          <w:sz w:val="20"/>
        </w:rPr>
        <w:t>$2.5B backlog (8.5% sequential growth) converting to revenue stability even in a flat activity environment, supporting free cash flow generation of $125-$145M for capital returns or bolt-on M&amp;A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OPEC+ production cuts and geopolitical uncertainty reducing E&amp;P capital spending, driving further revenue decline below the $1.6B guidance floor with disproportionate earnings impact given 3.2% profit margins [1][4]</w:t>
      </w:r>
    </w:p>
    <w:p>
      <w:pPr>
        <w:spacing w:before="40" w:after="40"/>
        <w:ind w:left="283"/>
      </w:pPr>
      <w:r>
        <w:rPr>
          <w:rFonts w:ascii="Calibri" w:hAnsi="Calibri"/>
          <w:b/>
          <w:color w:val="4A6B25"/>
          <w:sz w:val="20"/>
        </w:rPr>
        <w:t xml:space="preserve">2. </w:t>
      </w:r>
      <w:r>
        <w:rPr>
          <w:rFonts w:ascii="Calibri" w:hAnsi="Calibri"/>
          <w:b w:val="0"/>
          <w:color w:val="3A4A28"/>
          <w:sz w:val="20"/>
        </w:rPr>
        <w:t>Energy transition structural risk — long-term decline in fossil fuel demand could permanently reduce oilfield services activity levels, stranding Expro's specialized equipment and capabilities [3]</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SLB, Halliburton, and Baker Hughes on integrated service contracts where Expro's $2B scale cannot match the bundled pricing and global coverage of $25-65B market cap competitors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Expro's core business involves physically deploying equipment and personnel at oil and gas wellsites — running tubulars, managing well flow, performing subsea interventions, and executing cementing operations in extreme downhole environments [1]. These are hands-on, physically demanding services that AI structurally cannot replace; a language model cannot run pipe on an offshore rig or perform subsea well intervention at 10,000 feet depth. Regulatory requirements, safety certifications, and customer-specific specifications create additional barriers to AI displacement. Furthermore, AI data center buildouts increase global energy demand, which supports upstream E&amp;P activity and Expro's service volumes. AI Opportunity (1/1): Expro is actively generating revenue from AI-enabled products — the iTONG system reduces connection makeup times by 50% (saving ~15 hours/month of rig time), and the iCAM system uses machine learning for automated tubular connection analysis, both deployed commercially with quantifiable customer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Expro Group Q4 2025 Earnings Release — $1.607B FY2025 revenue, 22% EBITDA margin, $2.5B backlog, 2026 guidance $1.6-$1.65B revenue, February 2026</w:t>
      </w:r>
    </w:p>
    <w:p>
      <w:pPr>
        <w:spacing w:before="20" w:after="20"/>
        <w:ind w:left="170"/>
      </w:pPr>
      <w:r>
        <w:rPr>
          <w:rFonts w:ascii="Calibri" w:hAnsi="Calibri"/>
          <w:b/>
          <w:color w:val="4A6B25"/>
          <w:sz w:val="15"/>
        </w:rPr>
        <w:t xml:space="preserve">2. </w:t>
      </w:r>
      <w:r>
        <w:rPr>
          <w:rFonts w:ascii="Calibri" w:hAnsi="Calibri"/>
          <w:b w:val="0"/>
          <w:color w:val="3A4A28"/>
          <w:sz w:val="17"/>
        </w:rPr>
        <w:t>Expro Group corporate website and Glassdoor — iTONG AI-enabled tubular running (50% time reduction), iCAM machine learning system, CEO Jardon profile, employee reviews 3.9 stars, 2025-2026</w:t>
      </w:r>
    </w:p>
    <w:p>
      <w:pPr>
        <w:spacing w:before="20" w:after="20"/>
        <w:ind w:left="170"/>
      </w:pPr>
      <w:r>
        <w:rPr>
          <w:rFonts w:ascii="Calibri" w:hAnsi="Calibri"/>
          <w:b/>
          <w:color w:val="4A6B25"/>
          <w:sz w:val="15"/>
        </w:rPr>
        <w:t xml:space="preserve">3. </w:t>
      </w:r>
      <w:r>
        <w:rPr>
          <w:rFonts w:ascii="Calibri" w:hAnsi="Calibri"/>
          <w:b w:val="0"/>
          <w:color w:val="3A4A28"/>
          <w:sz w:val="17"/>
        </w:rPr>
        <w:t>Expro Sustainability Review 2024 — 25.2% GHG emission reduction from 2021 baseline, MSCI rating upgrade to A, energy transition positioning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XPRO (Expro Group Holdings),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