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XWEL</w:t>
      </w:r>
      <w:r>
        <w:rPr>
          <w:rFonts w:ascii="Calibri" w:hAnsi="Calibri"/>
          <w:b/>
          <w:color w:val="1A2010"/>
          <w:sz w:val="40"/>
        </w:rPr>
        <w:t xml:space="preserve">  XWELL, Inc.</w:t>
      </w:r>
    </w:p>
    <w:p>
      <w:pPr>
        <w:spacing w:after="120"/>
      </w:pPr>
      <w:r>
        <w:rPr>
          <w:rFonts w:ascii="Calibri" w:hAnsi="Calibri"/>
          <w:b/>
          <w:color w:val="6E8450"/>
          <w:sz w:val="18"/>
        </w:rPr>
        <w:t>GROWTH SLEEVE · 2026-03-27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XWELL provides health and wellness services to travelers through XpresSpa airport spa locations, XpresCheck wellness centers operating CDC biosurveillance programs, and Naples Wax Center locations in the United States and internationally.</w:t>
      </w:r>
    </w:p>
    <w:p>
      <w:r>
        <w:rPr>
          <w:rFonts w:ascii="Calibri" w:hAnsi="Calibri"/>
          <w:b/>
          <w:color w:val="6E8450"/>
          <w:sz w:val="18"/>
        </w:rPr>
        <w:t>246 Employees · https://www.xwell.com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XWELL has pivoted from pure airport wellness to biosecurity, partnering with PieQ to embed AI-driven forecasting into CDC traveler-based pathogen surveillance that has surpassed 1 million participants [1]. The expansion beyond airports into transit hubs (Penn Station) and planned international biosecurity growth shows strategic evolution. However, Q3 2025 revenue of $7.3M is declining and the company remains deeply unprofitable with a -51.8% profit margin.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appointment of Dr. Cindy Friedman (former CDC senior advisor) as senior advisor signals credibility in biosecurity, and the company's mission of traveler wellness has public health merit [1]. However, annual revenue under $30M, a negative profit margin exceeding 50%, declining revenue (-12.8% YoY), and the need for a $31.3M dilutive private placement suggest the company is struggling for survival rather than inspiring stakeholders.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XWELL's financial profile is deeply distressed: -51.8% profit margin, -159% ROE, 281% D/E ratio, and revenue declining 12.8% YoY from $8.7M to $7.0M in Q1 2025 [1]. The $31.3M private placement at $0.47 per share with $0.345 warrants represents massive dilution. Positive note: Q3 2025 showed a narrowed operating loss of $0.8M and 32% reduction in G&amp;A expenses, plus the company removed $2.4M in annualized staffing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XWELL is operating in survival mode with declining revenue, massive losses, and dilutive financing rounds. While the biosecurity pivot shows strategic thinking, the company's existential financial challenges dominate any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Traveler wellness and biosecurity surveillance serve genuine public health needs, and the CDC partnership validates the mission [1]. However, the company's inability to achieve profitability after years of operation and the need for heavily dilutive financing undermine the sustainability of its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removal of $2.4M in annualized staffing costs and ongoing workforce reductions signal instability for the 246-person team [1]. Frequent strategic pivots from COVID testing to wellness to biosecurity create uncertainty for employees about the company's direction.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XWELL operates in fragmented markets without clearly defined competitors to learn from. The company's multiple pivots suggest reactive rather than strategic competitive positioning, and its $7.4M market cap limits competitive resources.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COVID testing (XpresTest) to biosecurity surveillance and the expansion from airports to transit hubs demonstrate willingness to adapt [1]. However, these pivots are driven by necessity rather than strategic vision, and none has yet achieved scale or profitability.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Appointing a former CDC senior advisor and pursuing international biosecurity expansion shows ambition beyond the company's current scale [1]. However, the courage to lead must be balanced against fiduciary responsibility when shareholder value has been destroyed and the company requires massive dilutive financing to survive.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XWELL's biosecurity surveillance platform, embedded in the CDC's traveler-based genomic program across seven major U.S. airports with plans for European and Middle Eastern expansion, represents a potentially high-value public health infrastructure asset [1]. The AI partnership with PieQ and appointment of former CDC advisor Dr. Friedman lend credibility. Q3 2025 showed dramatic cost reduction with operating loss narrowing to $0.8M and G&amp;A down 32% YoY.</w:t>
      </w:r>
    </w:p>
    <w:p>
      <w:pPr>
        <w:spacing w:after="120"/>
      </w:pPr>
      <w:r>
        <w:rPr>
          <w:rFonts w:ascii="Calibri" w:hAnsi="Calibri"/>
          <w:b w:val="0"/>
          <w:color w:val="3A4A28"/>
          <w:sz w:val="20"/>
        </w:rPr>
        <w:t>The bear case is overwhelming. Revenue is declining (-12.8% YoY), the company has never been profitable, and the -51.8% profit margin and 281% D/E ratio indicate fundamental business model viability concerns [1]. The $31.3M private placement at $0.47/share with $0.345 warrants represents catastrophic dilution for existing shareholders — potentially tripling the share count. At a $7.4M market cap, this is a speculative micro-cap where the probability of permanent capital loss significantly exceeds the probability of recovery. Multiple strategic pivots have not yielded sustainable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expansion of CDC biosurveillance program to Europe and Middle East could open new government contract revenue streams in 2026 [1]</w:t>
      </w:r>
    </w:p>
    <w:p>
      <w:pPr>
        <w:spacing w:before="40" w:after="40"/>
        <w:ind w:left="283"/>
      </w:pPr>
      <w:r>
        <w:rPr>
          <w:rFonts w:ascii="Calibri" w:hAnsi="Calibri"/>
          <w:b/>
          <w:color w:val="4A6B25"/>
          <w:sz w:val="20"/>
        </w:rPr>
        <w:t xml:space="preserve">2. </w:t>
      </w:r>
      <w:r>
        <w:rPr>
          <w:rFonts w:ascii="Calibri" w:hAnsi="Calibri"/>
          <w:b w:val="0"/>
          <w:color w:val="3A4A28"/>
          <w:sz w:val="20"/>
        </w:rPr>
        <w:t>Q3 2025 cost restructuring removing $2.4M in annualized costs could drive operating loss toward breakeven by late 2026 if revenue stabilizes</w:t>
      </w:r>
    </w:p>
    <w:p>
      <w:pPr>
        <w:spacing w:before="40" w:after="40"/>
        <w:ind w:left="283"/>
      </w:pPr>
      <w:r>
        <w:rPr>
          <w:rFonts w:ascii="Calibri" w:hAnsi="Calibri"/>
          <w:b/>
          <w:color w:val="4A6B25"/>
          <w:sz w:val="20"/>
        </w:rPr>
        <w:t xml:space="preserve">3. </w:t>
      </w:r>
      <w:r>
        <w:rPr>
          <w:rFonts w:ascii="Calibri" w:hAnsi="Calibri"/>
          <w:b w:val="0"/>
          <w:color w:val="3A4A28"/>
          <w:sz w:val="20"/>
        </w:rPr>
        <w:t>AI-powered pathogen surveillance capabilities could attract Department of Defense or WHO contracts beyond the current CDC relationship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$31.3M private placement at $0.47/share could triple the share count, creating massive dilution that may drive the stock below $0.50 and trigger Nasdaq delisting risk [1]</w:t>
      </w:r>
    </w:p>
    <w:p>
      <w:pPr>
        <w:spacing w:before="40" w:after="40"/>
        <w:ind w:left="283"/>
      </w:pPr>
      <w:r>
        <w:rPr>
          <w:rFonts w:ascii="Calibri" w:hAnsi="Calibri"/>
          <w:b/>
          <w:color w:val="4A6B25"/>
          <w:sz w:val="20"/>
        </w:rPr>
        <w:t xml:space="preserve">2. </w:t>
      </w:r>
      <w:r>
        <w:rPr>
          <w:rFonts w:ascii="Calibri" w:hAnsi="Calibri"/>
          <w:b w:val="0"/>
          <w:color w:val="3A4A28"/>
          <w:sz w:val="20"/>
        </w:rPr>
        <w:t>Revenue has declined for four consecutive quarters and the core XpresSpa business faces secular headwinds from airport automation and changing traveler preferences</w:t>
      </w:r>
    </w:p>
    <w:p>
      <w:pPr>
        <w:spacing w:before="40" w:after="40"/>
        <w:ind w:left="283"/>
      </w:pPr>
      <w:r>
        <w:rPr>
          <w:rFonts w:ascii="Calibri" w:hAnsi="Calibri"/>
          <w:b/>
          <w:color w:val="4A6B25"/>
          <w:sz w:val="20"/>
        </w:rPr>
        <w:t xml:space="preserve">3. </w:t>
      </w:r>
      <w:r>
        <w:rPr>
          <w:rFonts w:ascii="Calibri" w:hAnsi="Calibri"/>
          <w:b w:val="0"/>
          <w:color w:val="3A4A28"/>
          <w:sz w:val="20"/>
        </w:rPr>
        <w:t>CDC biosurveillance contracts are subject to government funding cycles and could be terminated or not renewed, eliminating the company's primary growth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XWELL's partnership with PieQ to deploy AI-driven forecasting in CDC biosurveillance operations shows proactive AI adoption [1]. However, the core spa and wellness business is labor-intensive and difficult to automate, limiting AI's ability to transform margins. The biosecurity vertical could benefit from AI-powered pathogen detection but remains a small portion of overall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XWELL Inc. Q1-Q3 2025 Earnings Releases and SEC Filings, 2025-2026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XWEL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XWELL Corporate Announcements — Biosecurity Strategy, PieQ Partnership, Dr. Friedman Appointment,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