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XXI</w:t>
      </w:r>
      <w:r>
        <w:rPr>
          <w:rFonts w:ascii="Calibri" w:hAnsi="Calibri"/>
          <w:b/>
          <w:color w:val="1A2010"/>
          <w:sz w:val="40"/>
        </w:rPr>
        <w:t xml:space="preserve">  Twenty One Capital,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2026-04-25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Shell Companies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Twenty One Capital is a Bitcoin-native public company backed by Tether, SoftBank, and Cantor Fitzgerald that accumulates Bitcoin as a treasury reserve asset and develops Bitcoin-related financial products. Founded in 2025 via a SPAC combination with Cantor Equity Partners, the company holds approximately 43,514 BTC ($3.28B) making it the 3rd largest public Bitcoin holder.</w:t>
      </w:r>
    </w:p>
    <w:p>
      <w:r>
        <w:rPr>
          <w:rFonts w:ascii="Calibri" w:hAnsi="Calibri"/>
          <w:b/>
          <w:color w:val="6E8450"/>
          <w:sz w:val="18"/>
        </w:rPr>
        <w:t>3 Employees · https://xxi.money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Twenty One Capital launched in December 2025 via SPAC merger with Cantor Equity Partners, accumulating 43,514 BTC as a treasury asset — a novel but unproven approach to public market Bitcoin exposure following the MicroStrategy playbook [1]. The company has existed for less than 6 months with no meaningful operating history. AI Deployment (0/2): No AI deployment or strategy evident; the company's focus is entirely on Bitcoin accumulation and financial product development [2]. Market Share (1/2): Twenty One Capital is the 3rd largest public Bitcoin holder behind MicroStrategy and Marathon Digital, establishing a meaningful position in the institutional Bitcoin space through Tether and SoftBank backing [1]. Pipeline (1/2): CEO Jack Mallers has outlined plans for Bitcoin-native lending models, capital market instruments, and educational content to build recurring revenue streams, though no products have launched with specific timelines [2]. R&amp;D Intensity (1/1): For a 3-person company, the strategic investment in Bitcoin financial product architecture and Lightning Network-adjacent capabilities (via Mallers' Strike background) represents above-average innovation intensity relative to the nascent Bitcoin treasury sector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Twenty One's stated purpose — 'a public stock, built by bitcoiners, for bitcoiners' and ambition to become the largest publicly traded Bitcoin holder — is specific and distinctive within its niche but serves a narrow community rather than articulating a broader societal purpose [2]. The mission is more tribal identity than transformative vision. Community Impact (0/2): No charitable programs, community investment, or social impact initiatives have been announced. The company has 3 employees and no established community infrastructure [1]. Employee Retention (0/2): With only 3 employees and less than 6 months of operating history, there is no meaningful retention data to evaluate. Insider Buying (1/2): Tether and SoftBank committed substantial capital through the SPAC combination, and CEO Jack Mallers has significant equity alignment as co-founder, demonstrating insider conviction in the Bitcoin thesis [2]. However, no open-market insider purchases have been reported.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Twenty One Capital's financial profile is atypical — the company is essentially a Bitcoin holding vehicle with minimal operating metrics. Debt-to-equity of 14.1% is extremely low, reflecting conservative leverage against its $3.28B BTC treasury [3]. However, profit margin is 0% with no reported revenue, no earnings, and no forward P/E available [3]. The $484M in total debt against $118M cash (ex-Bitcoin) creates potential liquidity risk if Bitcoin prices decline materially. The stock has lost approximately 40% since its December 2025 IPO at ~$12, reflecting investor skepticism about the Bitcoin treasury model's valuation premium [1]. Most financial metrics are unavailable, limiting the infrastructure assessment to D/E (strong) and profit margin (zero). Liquidity clears the floor at $11.4M daily turnover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Twenty One Capital exhibits predominantly finite game characteristics. The company's metrics focus on 'Bitcoin per share' — a quantitative, finite measurement. CEO Mallers' framing of 'building a new market' shows ambition, but the company is too young to have demonstrated endurance through adversity, and the Bitcoin treasury model is inherently a financial bet rather than a purpose-driven enterprise built to outlast market cycles.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Mallers articulates a vision of replacing legacy financial infrastructure with Bitcoin-native alternatives, which is specific and idealistic [2]. However, this cause is primarily financial and ideological rather than service-oriented — it serves Bitcoin holders, not a broader community need. The SPAC-to-Bitcoin-treasury structure suggests financial engineering over mission-driven purpose. The company is less than 6 months old, providing no execution history to validate the cause (1/3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3 employees and less than 6 months of history, there is insufficient data to assess organizational trust or team dynamics [3]. The small team suggests a concentrated leadership structure, and the SPAC origin with Tether/SoftBank ownership raises questions about whose interests are prioritized — insiders or public shareholders (0/2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Mallers' public statements frame Twenty One as a competitor to MicroStrategy (the incumbent Bitcoin treasury company) with language focused on becoming 'the largest' public Bitcoin holder rather than learning from rivals' strengths [2]. The competitive framing is conquest-oriented ('beat the market,' 'build a new one') rather than improvement-oriented (0/1 point).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is too young to have demonstrated existential flexibility — it has not faced a strategic inflection point or market crisis requiring adaptation [1]. The single-asset Bitcoin treasury model is inherently rigid; if Bitcoin's thesis fails, the company has no alternative business to pivot toward. Plans for lending and financial products could provide diversification but remain unbuilt (0/2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Launching a Bitcoin-native public company through a SPAC in partnership with Tether and SoftBank required conviction, and Mallers' willingness to stake his reputation on a concentrated Bitcoin bet demonstrates personal courage [2]. However, the structure uses OPM (other people's money) via SPAC and institutional backers, which reduces the personal sacrifice element. The 40% stock decline since IPO has not prompted strategy changes, showing some resolve (1/2 points).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Twenty One Capital offers institutional-grade Bitcoin exposure through a publicly traded vehicle backed by Tether, SoftBank, and Cantor Fitzgerald. The company holds 43,514 BTC (~$3.28B) making it the 3rd largest public Bitcoin holder, with CEO Jack Mallers bringing credibility from founding Strike and pioneering Lightning Network payments [1][2]. The Bitcoin-per-share metric creates a transparent framework for evaluating management's capital allocation, and plans for Bitcoin-native lending and capital market instruments could generate recurring revenue. At $7.80 per share with a $2.7B market cap against $3.28B in BTC holdings, the stock trades at a discount to its Bitcoin NAV, suggesting potential upside if the Bitcoin thesis plays out.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 for this early-stage, single-asset company. Twenty One has zero revenue, zero earnings, 3 employees, and no operating history — it is a concentrated Bitcoin bet wrapped in a SPAC shell [3]. The stock has declined ~40% from its December 2025 IPO price, reflecting investor skepticism about the Bitcoin treasury premium model that MicroStrategy pioneered [1]. Tether's majority ownership raises governance concerns given Tether's own regulatory scrutiny and opaque reserve disclosures. Bitcoin price volatility directly determines shareholder value — a 50% BTC drawdown would devastate the equity. No forward P/E, no earnings guidance, and consensus 'Sell' rating from analysts signal that traditional valuation frameworks do not apply [1]. The company's ability to build actual revenue-generating products beyond Bitcoin accumulation remains entirely unproven.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Bitcoin price appreciation driving NAV per share growth — the company's 43,514 BTC position directly amplifies upside from any Bitcoin rally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Launch of Bitcoin-native financial products (lending, capital market instruments) that could establish recurring revenue streams beyond pure BTC accumulation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Institutional adoption of Bitcoin treasury strategies by additional corporations, validating the Twenty One model and potentially compressing the NAV discount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Zero revenue, zero earnings, and 3 employees — the company is a pre-revenue Bitcoin holding vehicle with no demonstrated ability to build an operating business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Bitcoin price volatility directly determines equity value with no hedging or diversification — a sustained BTC decline would destroy shareholder value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Tether majority ownership raises governance and regulatory risk given Tether's own controversies around reserve transparency and regulatory compliance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Twenty One Capital's core business of holding Bitcoin as a treasury asset is neither directly threatened nor enhanced by AI in a structural way. Bitcoin's value proposition as a decentralized store of value is independent of AI disruption. However, AI-driven trading algorithms and quantitative strategies could increase Bitcoin market volatility, and AI-powered competitors could build more sophisticated Bitcoin financial products. The company has no physical moat, regulatory protection, or switching costs that insulate it from competition [1]. AI Opportunity (0/1): No AI-related revenue streams or AI-powered products have been announced. The company's strategy is purely Bitcoin-focused with no AI component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Bitcoin Treasuries / CoinMarketCap — Twenty One Capital BTC holdings (43,514 BTC, 3rd largest public holder), IPO via Cantor Equity Partners SPAC, December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Fortune / SEC Filing — CEO Jack Mallers, Tether/SoftBank backing, Bitcoin-native strategy, Lightning Network vision,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XXI (Twenty One Capital),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