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YETI</w:t>
      </w:r>
      <w:r>
        <w:rPr>
          <w:rFonts w:ascii="Calibri" w:hAnsi="Calibri"/>
          <w:b/>
          <w:color w:val="1A2010"/>
          <w:sz w:val="40"/>
        </w:rPr>
        <w:t xml:space="preserve">  YETI Holdings, Inc.</w:t>
      </w:r>
    </w:p>
    <w:p>
      <w:pPr>
        <w:spacing w:after="120"/>
      </w:pPr>
      <w:r>
        <w:rPr>
          <w:rFonts w:ascii="Calibri" w:hAnsi="Calibri"/>
          <w:b/>
          <w:color w:val="6E8450"/>
          <w:sz w:val="18"/>
        </w:rPr>
        <w:t>GROWTH SLEEVE · 2026-04-26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YETI Holdings designs, markets, and distributes premium outdoor lifestyle products including hard and soft coolers, drinkware (Rambler, Yonder), bags, cargo solutions, outdoor furniture, and apparel. Founded in 2006 and headquartered in Austin, Texas, YETI sells through direct-to-consumer channels (websites, retail stores) and wholesale partners across the US, Canada, Australia, Europe, and Japan.</w:t>
      </w:r>
    </w:p>
    <w:p>
      <w:r>
        <w:rPr>
          <w:rFonts w:ascii="Calibri" w:hAnsi="Calibri"/>
          <w:b/>
          <w:color w:val="6E8450"/>
          <w:sz w:val="18"/>
        </w:rPr>
        <w:t>1,390 Employees · https://www.yeti.com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YETI has successfully expanded beyond its original cooler category into drinkware (now the majority of revenue), bags, outdoor living, and cookware over the past five years, with international expansion driving 25% international net sales growth in FY2025 [1]. The company has opened retail stores and built a robust DTC channel. AI Deployment (1/2): YETI is embedding AI-driven analytics into supply chain operations for real-time inventory, logistics, and pricing adjustments, though no AI-powered consumer products exist [2]. Market Share (1/2): YETI commands premium positioning in the insulated drinkware and cooler categories with strong brand loyalty, though it competes against Stanley, Hydro Flask, and RTIC in an increasingly crowded premium segment [1]. Pipeline (1/2): 2026 guidance projects 6-8% sales growth with balanced contributions from Drinkware and Coolers &amp; Equipment, continued international expansion with high teens to 20% international growth, and a robust innovation cycle [1]. R&amp;D Intensity (1/1): YETI invests meaningfully in product innovation — removing PFA chemicals from all products, converting to recycled polyester, and launching circular economy programs (Rambler Buy Back, YETI RESCUES)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YETI's brand ethos — 'Built for the Wild' — is specific, thoughtful, and deeply embedded in product design and community engagement. The brand's identity is rooted in enabling outdoor experiences with virtually indestructible products, which differentiates it from generic consumer goods companies. The mission shapes product decisions, ambassador partnerships, and brand storytelling [2]. Community Impact (2/2): YETI's 'Keep the Wild' ESG initiative demonstrates distinctive community investment — the Rambler Buy Back and YETI RESCUES circular economy programs cover 70%+ of the product portfolio, and the company has removed long-chain PFA chemicals from all products while converting to recycled polyester [3]. Employee Retention (1/2): Glassdoor rating of 4.1/5 for culture and values with CEO Matt Reintjes' 10.5-year tenure showing leadership continuity; some employee concerns about internal promotion transparency [2]. Insider Buying (1/2): Significant net insider buying of 526,654 shares over the last 6 months against only 9,756 shares sold — strong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YETI's financial profile shows a well-capitalized consumer brand trading at attractive multiples. D/E of 35.1% reflects a conservative balance sheet with $188M cash against $228M debt [4]. ROE of 23.8% demonstrates strong capital efficiency, and forward P/E of 12.3x with PEG of 1.27x suggests undervaluation for a premium consumer brand with 6-8% revenue growth guidance [1]. Gross margins of 57.4% validate pricing power, though net profit margin of 8.9% reflects heavy SGA investment in international expansion and retail store buildout. Revenue growth of 6.8% YoY and 5.4% 3-year CAGR lag the 10% target but reflect the base effect of a maturing $1.87B revenue business [1]. Free cash flow of $90.6M and operating cash flow of $254.7M support the growth investment. Liquidity floor cleared: $39.96 x 1.43M avg volume = $57.3M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YETI demonstrates strong infinite game characteristics under CEO Matt Reintjes' decade-long tenure, with a brand mission deeply tied to outdoor experiences and product durability that transcends quarterly financial optimization. The company's circular economy programs and long-term international expansion strategy suggest playing to keep playing, though the premium consumer goods model faces cyclical pressures that test long-term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YETI's 'Built for the Wild' ethos is a genuine, distinctive cause that connects the company's products to something bigger — enabling and preserving outdoor experiences (2/3 points). The cause shapes product decisions (virtually indestructible designs, removing harmful chemicals), community investment (YETI RESCUES, Buy Back), and brand storytelling through ambassador partnerships. However, the cause hasn't been tested through multiple decades or a fundamental market crisis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Reintjes' 10.5-year tenure and Glassdoor's 4.1/5 culture rating indicate adequate organizational trust (1/2 points) [2]. The company's 1,390 employees show stability, and leadership continuity supports institutional knowledge. However, employee feedback about limited internal promotion transparency and external hiring preferences suggests trust gaps at the mid-level that fall short of exceptional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YETI acknowledges competitive pressure from Stanley (whose viral tumbler moment created a legitimate rivalry), Hydro Flask, and RTIC, using these competitors' strengths to sharpen its own product innovation and brand positioning (1/1 point). The company's response to Stanley's momentum was product line expansion and DTC investment rather than price wars or defensive rhetoric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YETI has evolved from a cooler-only company to a diversified outdoor lifestyle brand, entering drinkware, bags, outdoor living, cookware, and apparel — with drinkware now exceeding coolers as the primary revenue driver (1/2 points) [1]. International expansion from a domestic-only brand to operations in Canada, Australia, Europe, and Japan represents meaningful strategic evolution. However, these are incremental category extensions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Reintjes demonstrated courage by investing heavily in international expansion and retail store buildout during a challenging consumer spending environment, accepting near-term margin pressure for long-term capability (1/2 points) [1]. The decision to remove PFA chemicals from all products and invest in circular economy programs shows willingness to incur cost for brand integrity. However, no evidence of a truly costly contrarian decision that sacrificed significant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YETI is a premium outdoor lifestyle brand trading at a compelling 12.3x forward P/E — a deep discount to consumer brand peers — with 23.8% ROE, 57.4% gross margins, and strong insider buying (526K net shares purchased in six months) [1][4]. Full-year 2026 guidance projects 6-8% revenue growth with adjusted EPS of $2.77-$2.83 (12-14% growth), driven by balanced Drinkware and Coolers &amp; Equipment contributions, high teens to 20% international growth, and over $200M in free cash flow [1]. The international opportunity (25% growth in FY2025) provides a long growth runway as YETI expands across Europe, Japan, and other markets. The brand's premium positioning, product durability ethos, and circular economy programs (Rambler Buy Back, YETI RESCUES) support pricing power in a competitive landscape [3].</w:t>
      </w:r>
    </w:p>
    <w:p>
      <w:pPr>
        <w:spacing w:after="120"/>
      </w:pPr>
      <w:r>
        <w:rPr>
          <w:rFonts w:ascii="Calibri" w:hAnsi="Calibri"/>
          <w:b w:val="0"/>
          <w:color w:val="3A4A28"/>
          <w:sz w:val="20"/>
        </w:rPr>
        <w:t>The bear case centers on decelerating domestic growth, consumer cyclicality, and competitive intensification. Revenue growth of 6.8% YoY and 5.4% 3-year CAGR suggest YETI is maturing as a domestic brand — the $1.87B revenue base limits the growth multiple premium. Net profit margin of only 8.9% (despite 57% gross margins) reflects heavy SGA spending on international expansion and retail stores that may not deliver proportional returns [4]. The premium consumer goods category is inherently cyclical — YETI's discretionary products face demand pressure in economic downturns. Competition from Stanley, Hydro Flask, and RTIC continues to intensify, and Stanley's viral social media success demonstrated that brand momentum in drinkware can shift rapidly. Tariff exposure on products manufactured primarily in China and Southeast Asia creates margin risk that could compress the 56-57% gross margin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driving high teens to 20% growth with significant runway remaining in Europe and Japan, while providing geographic diversification [1]</w:t>
      </w:r>
    </w:p>
    <w:p>
      <w:pPr>
        <w:spacing w:before="40" w:after="40"/>
        <w:ind w:left="283"/>
      </w:pPr>
      <w:r>
        <w:rPr>
          <w:rFonts w:ascii="Calibri" w:hAnsi="Calibri"/>
          <w:b/>
          <w:color w:val="4A6B25"/>
          <w:sz w:val="20"/>
        </w:rPr>
        <w:t xml:space="preserve">2. </w:t>
      </w:r>
      <w:r>
        <w:rPr>
          <w:rFonts w:ascii="Calibri" w:hAnsi="Calibri"/>
          <w:b w:val="0"/>
          <w:color w:val="3A4A28"/>
          <w:sz w:val="20"/>
        </w:rPr>
        <w:t>Forward P/E of 12.3x represents potential multiple expansion as market recognizes YETI's brand durability, 23.8% ROE, and $200M+ annual free cash flow generation [4]</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(526K net shares in 6 months) signals management conviction in the company's undervaluation and growth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cyclicality — YETI's premium-priced discretionary products face meaningful demand risk in economic downturns when consumers trade down [1]</w:t>
      </w:r>
    </w:p>
    <w:p>
      <w:pPr>
        <w:spacing w:before="40" w:after="40"/>
        <w:ind w:left="283"/>
      </w:pPr>
      <w:r>
        <w:rPr>
          <w:rFonts w:ascii="Calibri" w:hAnsi="Calibri"/>
          <w:b/>
          <w:color w:val="4A6B25"/>
          <w:sz w:val="20"/>
        </w:rPr>
        <w:t xml:space="preserve">2. </w:t>
      </w:r>
      <w:r>
        <w:rPr>
          <w:rFonts w:ascii="Calibri" w:hAnsi="Calibri"/>
          <w:b w:val="0"/>
          <w:color w:val="3A4A28"/>
          <w:sz w:val="20"/>
        </w:rPr>
        <w:t>Stanley's viral social media success demonstrated that brand momentum in insulated drinkware can shift rapidly, threatening YETI's premium positioning and market share [2]</w:t>
      </w:r>
    </w:p>
    <w:p>
      <w:pPr>
        <w:spacing w:before="40" w:after="40"/>
        <w:ind w:left="283"/>
      </w:pPr>
      <w:r>
        <w:rPr>
          <w:rFonts w:ascii="Calibri" w:hAnsi="Calibri"/>
          <w:b/>
          <w:color w:val="4A6B25"/>
          <w:sz w:val="20"/>
        </w:rPr>
        <w:t xml:space="preserve">3. </w:t>
      </w:r>
      <w:r>
        <w:rPr>
          <w:rFonts w:ascii="Calibri" w:hAnsi="Calibri"/>
          <w:b w:val="0"/>
          <w:color w:val="3A4A28"/>
          <w:sz w:val="20"/>
        </w:rPr>
        <w:t>Tariff exposure on products manufactured in China and Southeast Asia could compress the 56-57% target gross margin and force price increases that risk demand destruction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YETI's core business — designing and selling physical outdoor products (coolers, drinkware, bags, outdoor furniture) — is structurally immune to AI disruption. Consumers purchase YETI products for tangible physical attributes (insulation performance, durability, design aesthetics) that AI cannot replicate or substitute [1]. The brand's competitive advantage is built on product engineering, materials science, and lifestyle brand identity — categories where AI has no substitution pathway. YETI's retail stores and wholesale distribution involve physical product experiences that AI cannot displace. AI Opportunity (0/1): YETI uses AI-driven analytics internally for supply chain optimization but generates no AI-related revenue. AI is an operational tool, not a product or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YETI Holdings Q4/FY2025 Earnings Release — $1.87B revenue, 7% net sales growth, FY2026 guidance of 6-8% sales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YETI Glassdoor Reviews — 4.1/5 culture rating, CEO Matt Reintjes 10.5-year tenure,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YETI 2023 ESG Report 'Keep the Wild' — PFA removal, recycled polyester, Rambler Buy Back, YETI RESCUES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YETI (YETI Holdings),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