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YMAT</w:t>
      </w:r>
      <w:r>
        <w:rPr>
          <w:rFonts w:ascii="Calibri" w:hAnsi="Calibri"/>
          <w:b/>
          <w:color w:val="1A2010"/>
          <w:sz w:val="40"/>
        </w:rPr>
        <w:t xml:space="preserve">  J-Star Holding Co., Ltd.</w:t>
      </w:r>
    </w:p>
    <w:p>
      <w:pPr>
        <w:spacing w:after="120"/>
      </w:pPr>
      <w:r>
        <w:rPr>
          <w:rFonts w:ascii="Calibri" w:hAnsi="Calibri"/>
          <w:b/>
          <w:color w:val="6E8450"/>
          <w:sz w:val="18"/>
        </w:rPr>
        <w:t>GROWTH SLEEVE · 2026-04-30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Taiwan</w:t>
      </w:r>
    </w:p>
    <w:p>
      <w:pPr>
        <w:spacing w:after="80"/>
      </w:pPr>
      <w:r>
        <w:rPr>
          <w:rFonts w:ascii="Calibri" w:hAnsi="Calibri"/>
          <w:b w:val="0"/>
          <w:color w:val="3A4A28"/>
          <w:sz w:val="20"/>
        </w:rPr>
        <w:t>J-Star Holding Co., Ltd. manufactures and trades in carbon fiber composite products, bicycles, and sports accessories in Taiwan and internationally. The company offers bicycle parts for sports and electric bicycles, paddle rackets for tennis, badminton, squash, and beach tennis, plus structural parts for automobiles, sporting goods, and healthcare products. Founded in 1968 and headquartered in Taichung, Taiwan.</w:t>
      </w:r>
    </w:p>
    <w:p>
      <w:r>
        <w:rPr>
          <w:rFonts w:ascii="Calibri" w:hAnsi="Calibri"/>
          <w:b/>
          <w:color w:val="6E8450"/>
          <w:sz w:val="18"/>
        </w:rPr>
        <w:t>65 Employees · https://j-starholding.com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J-Star has attempted strategic pivots including an exclusive global distribution deal with Patriot Green Energy for electric bicycles and motorcycles (February 2026) and a plan to exit China and build automated U.S. production, but revenue declined 26% in 2024 to $17.6M and the company has a $4.5M market cap — these are aspirational plans, not proven execution [1][2]. AI Deployment (0/2): No evidence of AI-powered products or AI-driven cost savings. The company is a traditional carbon fiber manufacturer with no AI strategy [3]. Market Share (1/2): J-Star has niche expertise in carbon fiber composites for sporting goods and bicycle parts, serving as a supplier to larger brands, but holds no leadership position in any category [1]. Pipeline (1/2): The U.S. automated production line, electric bicycle distribution partnership with PSSB, and plans to launch own brands represent pipeline activity, but timelines are vague and execution capacity is questionable for a 65-employee company [2]. R&amp;D Intensity (0/1): No evidence of R&amp;D spending data; the company operates primarily as a contract manufacturer rather than a research-driven innovator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J-Star describes itself as 'a leading provider of innovative carbon fiber and composite solutions' — generic and interchangeable with any composites manufacturer [3]. No articulated purpose beyond manufacturing capability. Community Impact (0/2): No evidence of charitable programs, community investment, or social initiatives for this 65-employee company [4]. Employee Retention (0/2): No retention data available. CEO instability — Sam Van was appointed September 2025 and replaced by returning founder Jonathan Chiang in March 2026, suggesting organizational turbulence at the top [3]. Insider Buying (1/2): Jonathan Chiang's return as CEO after founding the company suggests personal commitment, but no evidence of meaningful open-market insider purchases with specific dollar amounts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1,282,595 shares x $0.25 stock price = $320,649, well below the $1,000,000 liquidity minimum [5]. Infrastructure is automatically scored 0. Underlying fundamentals are also weak: $4.5M market cap is micro-cap territory, the stock received a Nasdaq non-compliance notice in December 2025 for trading below $1.00 minimum bid price [4], D/E of 115% with $14.9M debt against $0.9M cash, profit margin of only 3.1%, ROE of 5.0%, and revenue declining from $39.4M (2022) to $17.6M (2024) — a 55% collapse in two years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J-Star operates with a predominantly finite mindset. The company lacks a Just Cause, has experienced CEO instability (two CEO changes in six months), and its strategic pivots appear driven by survival rather than purpose. The plan to exit China, build U.S. production, and launch own brands reads as reactive repositioning during a Nasdaq compliance crisis rather than intentional long-term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J-Star has no articulated Just Cause. The company's identity centers on manufacturing capability rather than a vision of a better future [3]. The frequent strategic pivots — from contract manufacturing to own brands, from China to U.S. production — suggest the company is searching for survival rather than advancing an enduring purpose. Score: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instability is a red flag for organizational trust. Sam Van was appointed CEO in September 2025 and replaced by returning founder Jonathan Chiang in March 2026 — a six-month tenure that signals boardroom dysfunction [3]. With only 65 employees, leadership volatility at the top directly impacts the entire organization. No evidence of employee empowerment or cultural programs.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J-Star does not reference competitors' strengths or learning from rivals in any public communications. The company's competitive positioning focuses on its own capabilities rather than improvement through competitive dynamics [1].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J-Star has shown willingness to pivot — exiting China, pursuing U.S. automated production, entering electric bicycle distribution, and planning to launch own brands [2]. These represent meaningful strategic shifts for a small company. However, the pivots appear driven by necessity (revenue decline, Nasdaq compliance) rather than a Just Cause, and execution capacity is questionable. Score: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The leadership changes and strategic pivots appear reactive to declining revenue and Nasdaq compliance pressure rather than proactive investments in future capability [3][4]. The company's thin financial position ($0.9M cash) limits the ability to make bold bets.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J-Star is a micro-cap ($4.5M) Taiwanese carbon fiber composite manufacturer with 56 years of manufacturing heritage since 1968 and niche expertise in high-performance sporting goods and bicycle components [1]. The February 2026 exclusive global distribution deal with Patriot Green Energy for electric bicycles/motorcycles and the plan to build automated U.S. production could provide meaningful growth catalysts if executed [2]. Revenue grew 30.7% in H1 2025 to $10.6M, suggesting a modest recovery from the 2024 trough.</w:t>
      </w:r>
    </w:p>
    <w:p>
      <w:pPr>
        <w:spacing w:after="120"/>
      </w:pPr>
      <w:r>
        <w:rPr>
          <w:rFonts w:ascii="Calibri" w:hAnsi="Calibri"/>
          <w:b w:val="0"/>
          <w:color w:val="3A4A28"/>
          <w:sz w:val="20"/>
        </w:rPr>
        <w:t>The bear case is overwhelming. The $4.5M market cap and $0.25 stock price place YMAT in penny stock territory with a Nasdaq compliance warning for trading below the $1.00 minimum bid [4]. Revenue collapsed 55% from $39.4M (2022) to $17.6M (2024), and profit margins are razor-thin at 3.1% [5]. CEO instability — two CEO changes in six months — signals boardroom dysfunction [3]. The company carries $14.9M debt against only $0.9M cash, creating existential financial risk. The plan to exit China and build U.S. production is ambitious for a 65-employee company with negligible resources. Daily trading liquidity of ~$320K makes the stock essentially untradeable for any institutional investor. Filed complaints against PwC regarding IPO misrepresentations add governance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Exclusive global distribution partnership with Patriot Green Energy for electric bicycles and motorcycles, potentially opening a high-growth product category [2]</w:t>
      </w:r>
    </w:p>
    <w:p>
      <w:pPr>
        <w:spacing w:before="40" w:after="40"/>
        <w:ind w:left="283"/>
      </w:pPr>
      <w:r>
        <w:rPr>
          <w:rFonts w:ascii="Calibri" w:hAnsi="Calibri"/>
          <w:b/>
          <w:color w:val="4A6B25"/>
          <w:sz w:val="20"/>
        </w:rPr>
        <w:t xml:space="preserve">2. </w:t>
      </w:r>
      <w:r>
        <w:rPr>
          <w:rFonts w:ascii="Calibri" w:hAnsi="Calibri"/>
          <w:b w:val="0"/>
          <w:color w:val="3A4A28"/>
          <w:sz w:val="20"/>
        </w:rPr>
        <w:t>Planned U.S. automated production facility and China exit could reduce geopolitical risk and access domestic manufacturing incentives [2]</w:t>
      </w:r>
    </w:p>
    <w:p>
      <w:pPr>
        <w:spacing w:before="40" w:after="40"/>
        <w:ind w:left="283"/>
      </w:pPr>
      <w:r>
        <w:rPr>
          <w:rFonts w:ascii="Calibri" w:hAnsi="Calibri"/>
          <w:b/>
          <w:color w:val="4A6B25"/>
          <w:sz w:val="20"/>
        </w:rPr>
        <w:t xml:space="preserve">3. </w:t>
      </w:r>
      <w:r>
        <w:rPr>
          <w:rFonts w:ascii="Calibri" w:hAnsi="Calibri"/>
          <w:b w:val="0"/>
          <w:color w:val="3A4A28"/>
          <w:sz w:val="20"/>
        </w:rPr>
        <w:t>H1 2025 revenue recovery of 30.7% YoY suggests potential trough in the business cycle for carbon fiber composites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stock has been below $1.00 minimum bid price since December 2025, with 180-day compliance window requiring sustained price recovery [4]</w:t>
      </w:r>
    </w:p>
    <w:p>
      <w:pPr>
        <w:spacing w:before="40" w:after="40"/>
        <w:ind w:left="283"/>
      </w:pPr>
      <w:r>
        <w:rPr>
          <w:rFonts w:ascii="Calibri" w:hAnsi="Calibri"/>
          <w:b/>
          <w:color w:val="4A6B25"/>
          <w:sz w:val="20"/>
        </w:rPr>
        <w:t xml:space="preserve">2. </w:t>
      </w:r>
      <w:r>
        <w:rPr>
          <w:rFonts w:ascii="Calibri" w:hAnsi="Calibri"/>
          <w:b w:val="0"/>
          <w:color w:val="3A4A28"/>
          <w:sz w:val="20"/>
        </w:rPr>
        <w:t>Existential financial risk with $4.5M market cap, $0.9M cash, and $14.9M debt; any capital raise would be severely dilutive to existing shareholders [5]</w:t>
      </w:r>
    </w:p>
    <w:p>
      <w:pPr>
        <w:spacing w:before="40" w:after="40"/>
        <w:ind w:left="283"/>
      </w:pPr>
      <w:r>
        <w:rPr>
          <w:rFonts w:ascii="Calibri" w:hAnsi="Calibri"/>
          <w:b/>
          <w:color w:val="4A6B25"/>
          <w:sz w:val="20"/>
        </w:rPr>
        <w:t xml:space="preserve">3. </w:t>
      </w:r>
      <w:r>
        <w:rPr>
          <w:rFonts w:ascii="Calibri" w:hAnsi="Calibri"/>
          <w:b w:val="0"/>
          <w:color w:val="3A4A28"/>
          <w:sz w:val="20"/>
        </w:rPr>
        <w:t>CEO instability with two leadership changes in six months undermines strategic execution on ambitious China exit and U.S. expansion plans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J-Star's core business — manufacturing carbon fiber composite products including bicycle parts, rackets, and automotive components — is entirely physical-world manufacturing that AI cannot displace. The production of carbon fiber composites requires specialized equipment, materials science expertise, and hands-on fabrication that is structurally immune to AI substitution [1]. If anything, AI-driven design tools could increase demand for complex composite geometries. AI Opportunity (0/1): J-Star does not generate any revenue from AI products or services. The company is a traditional materials manufacturer with no AI revenue contribution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J-Star Holding H1 2025 Financial Results — revenue $10.6M, up 30.7% YoY,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J-Star Strategic Plan Announcement — China exit, U.S. expansion, PSSB distribution deal, January-February 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Jonathan Chiang returns as CEO, Sam Van departure, April 2026</w:t>
      </w:r>
    </w:p>
    <w:p>
      <w:pPr>
        <w:spacing w:before="20" w:after="20"/>
        <w:ind w:left="170"/>
      </w:pPr>
      <w:r>
        <w:rPr>
          <w:rFonts w:ascii="Calibri" w:hAnsi="Calibri"/>
          <w:b/>
          <w:color w:val="4A6B25"/>
          <w:sz w:val="15"/>
        </w:rPr>
        <w:t xml:space="preserve">4. </w:t>
      </w:r>
      <w:r>
        <w:rPr>
          <w:rFonts w:ascii="Calibri" w:hAnsi="Calibri"/>
          <w:b w:val="0"/>
          <w:color w:val="3A4A28"/>
          <w:sz w:val="17"/>
        </w:rPr>
        <w:t>Nasdaq Notification — YMAT non-compliance with $1.00 minimum bid price, December 2025; PwC complaints filed</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YMAT (J-Star Holding),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