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YMM</w:t>
      </w:r>
      <w:r>
        <w:rPr>
          <w:rFonts w:ascii="Calibri" w:hAnsi="Calibri"/>
          <w:b/>
          <w:color w:val="1A2010"/>
          <w:sz w:val="40"/>
        </w:rPr>
        <w:t xml:space="preserve">  Full Truck Alliance Co. Ltd.</w:t>
      </w:r>
    </w:p>
    <w:p>
      <w:pPr>
        <w:spacing w:after="120"/>
      </w:pPr>
      <w:r>
        <w:rPr>
          <w:rFonts w:ascii="Calibri" w:hAnsi="Calibri"/>
          <w:b/>
          <w:color w:val="6E8450"/>
          <w:sz w:val="18"/>
        </w:rPr>
        <w:t>GROWTH SLEEVE · 2026-03-27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China</w:t>
      </w:r>
    </w:p>
    <w:p>
      <w:pPr>
        <w:spacing w:after="80"/>
      </w:pPr>
      <w:r>
        <w:rPr>
          <w:rFonts w:ascii="Calibri" w:hAnsi="Calibri"/>
          <w:b w:val="0"/>
          <w:color w:val="3A4A28"/>
          <w:sz w:val="20"/>
        </w:rPr>
        <w:t>Full Truck Alliance operates China's largest digital freight platform, connecting shippers with truckers through its Yunmanman and Huochebang mobile apps. The company facilitates long-haul freight matching, transaction services, and value-added logistics solutions across China.</w:t>
      </w:r>
    </w:p>
    <w:p>
      <w:r>
        <w:rPr>
          <w:rFonts w:ascii="Calibri" w:hAnsi="Calibri"/>
          <w:b/>
          <w:color w:val="6E8450"/>
          <w:sz w:val="18"/>
        </w:rPr>
        <w:t>https://www.fulltruckalliance.com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 fulfilled over 236 million orders in 2025, growing nearly 20% YoY, with the fulfillment rate reaching a record 42.7% in Q4 (up 5+ percentage points YoY) [1]. Average shipper MAUs increased 18.6% as the platform deepens engagement. Management highlighted a broader push to integrate AI across the platform for matching efficiency and pricing optimization, and the overseas QMove brand is expanding into emerging markets with large freight volumes.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FTA's mission of digitizing China's fragmented $700B+ trucking market provides clear societal value by improving efficiency and reducing waste for millions of small trucking operators [1]. The company's commitment to returning 50%+ of non-GAAP adjusted net income to shareholders annually, including $400M in 2026, demonstrates shareholder orientation. However, limited employee culture data for the China-based workforce limits assessment.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FTA's financials are exceptional: 35.3% profit margin, near-zero D/E (0.086%), forward P/E of 9.8x, and operating income growth of 67.5% YoY [1]. Revenue grew 11.1% to RMB 12.49B with net income up 42.8% to RMB 4.46B. Free cash flow of RMB 4.50B and cash/investments of RMB 31.5B ($4.5B) provide extraordinary financial stability. The 2.2% dividend yield with 32.9% payout ratio is well-covered.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FTA is building enduring platform infrastructure for China's freight industry with strong network effects and long-term platform vision, but regulatory uncertainty in China and the company's relatively short public history limit the depth of its infinite-game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Digitizing China's fragmented trucking industry improves efficiency for millions of small operators, reduces empty miles and carbon emissions, and creates transparent pricing in a historically opaque market [1]. The QMove international expansion extends this mission to other developing economies.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FTA's organizational culture is difficult to assess from public data given limited English-language employee sentiment information. The orderly transition to returning 50%+ of earnings to shareholders suggests mature governance, but Chinese regulatory oversight and data security requirements create unique organizational challenges.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 is the dominant player in Chinese digital freight with no direct rival of comparable scale. The company competes with traditional freight brokers and smaller digital platforms, maintaining competitive awareness through continued platform innovation and the 42.7% fulfillment rate achievement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FTA's expansion into freight brokerage services, value-added transaction services, and international markets via QMove demonstrates strategic evolution beyond the original matching platform [1]. The company is building a broader logistics ecosystem rather than remaining a single-product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$400M shareholder return commitment in 2026 and the expansion into international markets via QMove show confidence in the platform's maturity and growth potential [1]. However, operating in China's regulatory environment requires balancing ambition with compliance, which can constrain bold strategic moves.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FTA offers exceptional value at 9.8x forward earnings for a platform with 35% profit margins, 42.8% net income growth, and RMB 31.5B ($4.5B) in cash [1]. The dominant position in China's $700B+ freight market with 236M fulfilled orders and 42.7% fulfillment rate (record) creates powerful network effects that strengthen over time. The $400M 2026 shareholder return program (dividends plus buybacks) provides a 4.7% total yield, while the QMove international expansion offers optionality in emerging markets.</w:t>
      </w:r>
    </w:p>
    <w:p>
      <w:pPr>
        <w:spacing w:after="120"/>
      </w:pPr>
      <w:r>
        <w:rPr>
          <w:rFonts w:ascii="Calibri" w:hAnsi="Calibri"/>
          <w:b w:val="0"/>
          <w:color w:val="3A4A28"/>
          <w:sz w:val="20"/>
        </w:rPr>
        <w:t>China risk is the dominant concern. Regulatory crackdowns on Chinese tech platforms, U.S.-China geopolitical tensions, potential ADR delisting risk, and VIE structure concerns have compressed the multiple to 9.8x despite fundamentals that would command 20-30x in U.S. markets [1]. Q1 2026 revenue guidance of flat to +3.9% YoY suggests decelerating top-line growth, and excluding freight brokerage the core business is growing 14-19%. The QMove international expansion remains in 'model validation stage' with no clear path to material revenue. Customer concentration risk exists among large shippers, and the Chinese macroeconomic slowdown could pressure freight volumes.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Fulfillment rate improvements beyond the 42.7% record could accelerate transaction revenue growth as more matched loads convert to completed transactions [1]</w:t>
      </w:r>
    </w:p>
    <w:p>
      <w:pPr>
        <w:spacing w:before="40" w:after="40"/>
        <w:ind w:left="283"/>
      </w:pPr>
      <w:r>
        <w:rPr>
          <w:rFonts w:ascii="Calibri" w:hAnsi="Calibri"/>
          <w:b/>
          <w:color w:val="4A6B25"/>
          <w:sz w:val="20"/>
        </w:rPr>
        <w:t xml:space="preserve">2. </w:t>
      </w:r>
      <w:r>
        <w:rPr>
          <w:rFonts w:ascii="Calibri" w:hAnsi="Calibri"/>
          <w:b w:val="0"/>
          <w:color w:val="3A4A28"/>
          <w:sz w:val="20"/>
        </w:rPr>
        <w:t>The $400M 2026 shareholder return program (50%+ of non-GAAP net income) could attract income-oriented investors and support the stock price [1]</w:t>
      </w:r>
    </w:p>
    <w:p>
      <w:pPr>
        <w:spacing w:before="40" w:after="40"/>
        <w:ind w:left="283"/>
      </w:pPr>
      <w:r>
        <w:rPr>
          <w:rFonts w:ascii="Calibri" w:hAnsi="Calibri"/>
          <w:b/>
          <w:color w:val="4A6B25"/>
          <w:sz w:val="20"/>
        </w:rPr>
        <w:t xml:space="preserve">3. </w:t>
      </w:r>
      <w:r>
        <w:rPr>
          <w:rFonts w:ascii="Calibri" w:hAnsi="Calibri"/>
          <w:b w:val="0"/>
          <w:color w:val="3A4A28"/>
          <w:sz w:val="20"/>
        </w:rPr>
        <w:t>QMove international expansion into Southeast Asia, Latin America, and other markets with fragmented freight could replicate the China platform model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regulatory risk including potential data security investigations, antitrust actions, or platform economy restrictions could materially impair operations or valuation [1]</w:t>
      </w:r>
    </w:p>
    <w:p>
      <w:pPr>
        <w:spacing w:before="40" w:after="40"/>
        <w:ind w:left="283"/>
      </w:pPr>
      <w:r>
        <w:rPr>
          <w:rFonts w:ascii="Calibri" w:hAnsi="Calibri"/>
          <w:b/>
          <w:color w:val="4A6B25"/>
          <w:sz w:val="20"/>
        </w:rPr>
        <w:t xml:space="preserve">2. </w:t>
      </w:r>
      <w:r>
        <w:rPr>
          <w:rFonts w:ascii="Calibri" w:hAnsi="Calibri"/>
          <w:b w:val="0"/>
          <w:color w:val="3A4A28"/>
          <w:sz w:val="20"/>
        </w:rPr>
        <w:t>U.S.-China geopolitical tensions and potential ADR delisting legislation could force a Hong Kong dual listing or restrict U.S. investor access</w:t>
      </w:r>
    </w:p>
    <w:p>
      <w:pPr>
        <w:spacing w:before="40" w:after="40"/>
        <w:ind w:left="283"/>
      </w:pPr>
      <w:r>
        <w:rPr>
          <w:rFonts w:ascii="Calibri" w:hAnsi="Calibri"/>
          <w:b/>
          <w:color w:val="4A6B25"/>
          <w:sz w:val="20"/>
        </w:rPr>
        <w:t xml:space="preserve">3. </w:t>
      </w:r>
      <w:r>
        <w:rPr>
          <w:rFonts w:ascii="Calibri" w:hAnsi="Calibri"/>
          <w:b w:val="0"/>
          <w:color w:val="3A4A28"/>
          <w:sz w:val="20"/>
        </w:rPr>
        <w:t>Q1 2026 revenue guidance of flat to +3.9% signals decelerating growth that could persist if China's macroeconomic slowdown deepens and freight volumes contract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core enabler of FTA's digital freight platform, powering matching algorithms, route optimization, pricing engines, and demand forecasting [1]. As the dominant platform with 236M+ fulfilled orders, FTA benefits from network effects that AI makes more powerful over time. The company's data advantage — representing the majority of China's digitized long-haul freight — creates a moat that AI amplifies rather than threatens.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Full Truck Alliance Q4/FY2025 Earnings Release and Q1 2026 Guidance, March 12,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YMM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Full Truck Alliance Shareholder Return Plan and QMove International Strategy,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