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YSS</w:t>
      </w:r>
      <w:r>
        <w:rPr>
          <w:rFonts w:ascii="Calibri" w:hAnsi="Calibri"/>
          <w:b/>
          <w:color w:val="1A2010"/>
          <w:sz w:val="40"/>
        </w:rPr>
        <w:t xml:space="preserve">  York Space Systems, Inc.</w:t>
      </w:r>
    </w:p>
    <w:p>
      <w:pPr>
        <w:spacing w:after="120"/>
      </w:pPr>
      <w:r>
        <w:rPr>
          <w:rFonts w:ascii="Calibri" w:hAnsi="Calibri"/>
          <w:b/>
          <w:color w:val="6E8450"/>
          <w:sz w:val="18"/>
        </w:rPr>
        <w:t>GROWTH SLEEVE · 2026-04-17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York Space Systems is a space and defense prime providing mission-critical solutions for national security, government, and commercial customers. The company designs, produces, integrates, and operates spacecraft including S-CLASS, LX-CLASS, and M-CLASS platforms, along with proprietary software for payload integration and constellation management. Founded in 2012, York IPO'd in January 2026 raising $629M.</w:t>
      </w:r>
    </w:p>
    <w:p>
      <w:r>
        <w:rPr>
          <w:rFonts w:ascii="Calibri" w:hAnsi="Calibri"/>
          <w:b/>
          <w:color w:val="6E8450"/>
          <w:sz w:val="18"/>
        </w:rPr>
        <w:t>710 Employees · https://www.yorkspacesystems.com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York achieved 52% YoY revenue growth to $386M in FY2025, with Q4 revenue up 38% to $105M, demonstrating rapid scaling of its spacecraft manufacturing platform post-IPO [1]. The company has successfully transitioned from startup to commercial-stage space prime. AI Deployment (0/2): No evidence of AI-powered products or AI-driven operational efficiencies; the company focuses on traditional spacecraft manufacturing and software-enabled services [2]. Market Share (2/2): York has established itself as a credible mid-tier space prime with 107 backlog satellites planned through 2027 and a funded backlog covering &gt;70% of 2026 guided revenue of $545-595M [1]. Pipeline (2/2): Clear next-gen product visibility with three spacecraft platforms (S-CLASS, LX-CLASS, M-CLASS), NASA PExT project extended to 2027, and guided 2026 revenue of $545-595M representing 41-54% growth [1][3]. R&amp;D Intensity (0/1): R&amp;D spending details not disclosed; gross margins of 19.5% suggest limited R&amp;D reinvestment relative to peers like Rocket Lab or L3Harris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York's stated purpose is to 'radically improve spacecraft affordability and deployment speed,' which is clear and specific to its market but not deeply distinctive or transformative beyond industry norms [2]. Community Impact (0/2): No evidence of charitable programs, foundation activity, or community investment beyond standard corporate operations [4]. Employee Retention (0/2): Glassdoor ratings are severely negative — 2.2/5 for work-life balance, 2.1/5 for culture and values; reviews describe 'terrible leadership,' 'worst management I've ever seen,' and employees feeling undervalued despite driving technical success [2]. Insider Buying (1/2): Post-IPO insider transactions are limited, but management's decision to retain significant equity through the IPO and reiterate profitability targets signals some alignment; no evidence of meaningful net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York's financial profile reflects a high-growth, pre-profit space company. Revenue grew 52% YoY to $386M with 2026 guidance of $545-595M (41-54% growth), and 3-year revenue CAGR of ~27% [1]. D/E of 17.3% is exceptionally low, indicating minimal leverage with $163M cash against $175M debt post-IPO [1]. However, ROE is negative at -9.1%, profit margin is -21.9%, and forward P/E of 71.0x reflects speculative valuation for a company guiding to profitability by Q3 2026 [1]. Net loss per share of $0.89 for FY2025 narrowed from prior year, and management targets 35% contribution margin on new business [1]. Liquidity floor easily cleared: 2.17M avg vol x $38.31 = $83.2M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York Space Systems is a young company (founded 2012, IPO'd January 2026) that has not yet been tested through market cycles or leadership transitions. The focus is heavily on near-term revenue growth and path to profitability rather than articulating an enduring purpose. Glassdoor reviews describing 'terrible leadership' and a culture that drives talent away suggest finite-game organizational dynamics where employees are treated as resources rather than partners in a shared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York's purpose of improving spacecraft affordability is a business strategy rather than a Just Cause in Sinek's framework — it describes a competitive positioning, not a vision of a future state so compelling people sacrifice to advance it. The company exists to win government contracts and scale manufacturing, which is finite-game thinking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deeply low-trust environment — employees report 'terrible leadership and at times disrespectful' management, compensation imbalances where 'leadership is compensated well while employees are compensated very stingily,' and overall culture/values rated 2.1/5 [2]. This describes a fear-based culture where employees feel undervalued.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York's leadership acknowledging competitors' strengths or using rivalry as motivation to improve. The company's language is focused on winning contracts and capturing market share, which is finite competitive thinking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York has evolved from a startup focused on small satellites to a multi-platform space prime offering S-CLASS, LX-CLASS, and M-CLASS spacecraft plus software-enabled services. The acquisition of Orbion Space Systems for propulsion technology and the NASA PExT project show incremental business model evolution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Dirk Wallinger invested 12 years building York before the January 2026 IPO, demonstrating long-term commitment. The company has maintained focus on spacecraft manufacturing rather than chasing adjacent markets, and management's guidance of profitability by Q3 2026 with 35% contribution margin targets shows disciplined planning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York Space Systems is a high-growth space prime that posted 52% revenue growth to $386M in FY2025 and guided 2026 revenue of $545-595M (41-54% growth), with &gt;70% backed by funded backlog [1]. The January 2026 IPO raised $629M, providing substantial liquidity to scale spacecraft manufacturing with 107 satellites in backlog through 2027. D/E of 17.3% and $163M cash provide a clean balance sheet. Management targets profitability by Q3 2026 with 35% contribution margins on new business, and Q4 adjusted EBITDA loss narrowed to -$1.4M, signaling an inflection point [1]. The space defense market benefits from secular tailwinds as the U.S. government increases spending on space-based national security infrastructure.</w:t>
      </w:r>
    </w:p>
    <w:p>
      <w:pPr>
        <w:spacing w:after="120"/>
      </w:pPr>
      <w:r>
        <w:rPr>
          <w:rFonts w:ascii="Calibri" w:hAnsi="Calibri"/>
          <w:b w:val="0"/>
          <w:color w:val="3A4A28"/>
          <w:sz w:val="20"/>
        </w:rPr>
        <w:t>The bear case centers on execution risk and valuation. York remains unprofitable with FY2025 net loss per share of -$0.89, negative operating cash flow of -$121M, and forward P/E of 71x — pricing in perfection on profitability trajectory [1][5]. Gross margins of 19.5% are thin for a company valued at ~$4.9B, and the 35% contribution margin target on new business has not been demonstrated at scale. Glassdoor reviews rating culture 2.1/5 suggest serious talent retention risk that could impair execution as the company scales from 710 employees [2]. Government contract concentration creates lumpy revenue risk, and defense spending priorities could shift under changing administrations. The company has only 3 years of public revenue history, making long-term projections speculative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by Q3 2026 with guided revenue of $545-595M and improving contribution margins on scaled manufacturing [1]</w:t>
      </w:r>
    </w:p>
    <w:p>
      <w:pPr>
        <w:spacing w:before="40" w:after="40"/>
        <w:ind w:left="283"/>
      </w:pPr>
      <w:r>
        <w:rPr>
          <w:rFonts w:ascii="Calibri" w:hAnsi="Calibri"/>
          <w:b/>
          <w:color w:val="4A6B25"/>
          <w:sz w:val="20"/>
        </w:rPr>
        <w:t xml:space="preserve">2. </w:t>
      </w:r>
      <w:r>
        <w:rPr>
          <w:rFonts w:ascii="Calibri" w:hAnsi="Calibri"/>
          <w:b w:val="0"/>
          <w:color w:val="3A4A28"/>
          <w:sz w:val="20"/>
        </w:rPr>
        <w:t>107 backlog satellites through 2027 providing multi-year revenue visibility with &gt;70% of 2026 revenue already funded [1]</w:t>
      </w:r>
    </w:p>
    <w:p>
      <w:pPr>
        <w:spacing w:before="40" w:after="40"/>
        <w:ind w:left="283"/>
      </w:pPr>
      <w:r>
        <w:rPr>
          <w:rFonts w:ascii="Calibri" w:hAnsi="Calibri"/>
          <w:b/>
          <w:color w:val="4A6B25"/>
          <w:sz w:val="20"/>
        </w:rPr>
        <w:t xml:space="preserve">3. </w:t>
      </w:r>
      <w:r>
        <w:rPr>
          <w:rFonts w:ascii="Calibri" w:hAnsi="Calibri"/>
          <w:b w:val="0"/>
          <w:color w:val="3A4A28"/>
          <w:sz w:val="20"/>
        </w:rPr>
        <w:t>NASA PExT project extension to 2027 and expanding national security space contracts driving new business wins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profitability timeline — negative operating cash flow of -$121M and -21.9% profit margin require significant margin improvement to meet Q3 2026 profitability target [1]</w:t>
      </w:r>
    </w:p>
    <w:p>
      <w:pPr>
        <w:spacing w:before="40" w:after="40"/>
        <w:ind w:left="283"/>
      </w:pPr>
      <w:r>
        <w:rPr>
          <w:rFonts w:ascii="Calibri" w:hAnsi="Calibri"/>
          <w:b/>
          <w:color w:val="4A6B25"/>
          <w:sz w:val="20"/>
        </w:rPr>
        <w:t xml:space="preserve">2. </w:t>
      </w:r>
      <w:r>
        <w:rPr>
          <w:rFonts w:ascii="Calibri" w:hAnsi="Calibri"/>
          <w:b w:val="0"/>
          <w:color w:val="3A4A28"/>
          <w:sz w:val="20"/>
        </w:rPr>
        <w:t>Severe culture and talent retention risk — Glassdoor culture rating of 2.1/5 and reviews describing 'terrible leadership' could impair execution as the company scales [2]</w:t>
      </w:r>
    </w:p>
    <w:p>
      <w:pPr>
        <w:spacing w:before="40" w:after="40"/>
        <w:ind w:left="283"/>
      </w:pPr>
      <w:r>
        <w:rPr>
          <w:rFonts w:ascii="Calibri" w:hAnsi="Calibri"/>
          <w:b/>
          <w:color w:val="4A6B25"/>
          <w:sz w:val="20"/>
        </w:rPr>
        <w:t xml:space="preserve">3. </w:t>
      </w:r>
      <w:r>
        <w:rPr>
          <w:rFonts w:ascii="Calibri" w:hAnsi="Calibri"/>
          <w:b w:val="0"/>
          <w:color w:val="3A4A28"/>
          <w:sz w:val="20"/>
        </w:rPr>
        <w:t>Government contract concentration and defense budget dependency create binary revenue risk if contract awards are delayed or programs are cut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York operates in the physical-world domain of spacecraft manufacturing, integration, and on-orbit operations — activities that AI cannot substitute [2]. The defense-industrial base involves classified programs, security clearances, and government-regulated procurement processes that create structural barriers to AI disruption. However, AI could disrupt satellite data analytics and some software-enabled services that York offers, creating moderate exposure on that revenue stream. The broader aerospace industry sees AI as a tool for optimizing manufacturing and mission planning rather than a displacement threat [3]. AI Opportunity (1/1): York's software platform for constellation management and payload integration could benefit from AI-enhanced autonomous operations, and the NASA PExT project explores advanced propulsion technology — areas where AI augmentation is emerging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York Space Systems Q4/FY2025 Earnings Release — $386M revenue, 52% growth, 2026 guidance $545-595M,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York Space Systems, 2.1/5 culture rating, 67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Intellectia.ai — York Space Systems extends PExT project with NASA to 2027; Orbion acquisition coverage</w:t>
      </w:r>
    </w:p>
    <w:p>
      <w:pPr>
        <w:spacing w:before="20" w:after="20"/>
        <w:ind w:left="170"/>
      </w:pPr>
      <w:r>
        <w:rPr>
          <w:rFonts w:ascii="Calibri" w:hAnsi="Calibri"/>
          <w:b/>
          <w:color w:val="4A6B25"/>
          <w:sz w:val="15"/>
        </w:rPr>
        <w:t xml:space="preserve">4. </w:t>
      </w:r>
      <w:r>
        <w:rPr>
          <w:rFonts w:ascii="Calibri" w:hAnsi="Calibri"/>
          <w:b w:val="0"/>
          <w:color w:val="3A4A28"/>
          <w:sz w:val="17"/>
        </w:rPr>
        <w:t>York Space Systems corporate website — mission statement and company overview,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YSS,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