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YYAI</w:t>
      </w:r>
      <w:r>
        <w:rPr>
          <w:rFonts w:ascii="Calibri" w:hAnsi="Calibri"/>
          <w:b/>
          <w:color w:val="1A2010"/>
          <w:sz w:val="40"/>
        </w:rPr>
        <w:t xml:space="preserve">  AiRWA Inc.</w:t>
      </w:r>
    </w:p>
    <w:p>
      <w:pPr>
        <w:spacing w:after="120"/>
      </w:pPr>
      <w:r>
        <w:rPr>
          <w:rFonts w:ascii="Calibri" w:hAnsi="Calibri"/>
          <w:b/>
          <w:color w:val="6E8450"/>
          <w:sz w:val="18"/>
        </w:rPr>
        <w:t>GROWTH SLEEVE · 2026-04-20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AiRWA Inc. operates artificial intelligence software providing online matchmaking and dating experiences in Hong Kong, the United States, and the United Kingdom. Formerly Connexa Sports Technologies, the company rebranded in October 2025 and pivoted to Web3/blockchain-based financial services and real-world asset tokenization on Solana.</w:t>
      </w:r>
    </w:p>
    <w:p>
      <w:r>
        <w:rPr>
          <w:rFonts w:ascii="Calibri" w:hAnsi="Calibri"/>
          <w:b/>
          <w:color w:val="6E8450"/>
          <w:sz w:val="18"/>
        </w:rPr>
        <w:t>https://yuanyuenterprise.com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AiRWA executed a dramatic pivot from portable ball launchers (Connexa Sports) to AI matchmaking and then to Web3/real-world asset tokenization, but the stock collapsed 92% following the October 2025 blockchain announcement, and the company had just $54,000 in cash at the time of the pivot [1][3]. AI Deployment (1/2): The company operates AI-powered matchmaking software through subsidiary YYEM, which generates royalty revenue from licensed technology, demonstrating at least one shipping AI product [1]. Market Share (0/2): AiRWA has negligible market share in any identifiable category — matchmaking, Web3, or tokenized equities. Pipeline (0/2): The AiRWA Exchange and $30M Solana token receipt are announced but unproven, with no specific launch timeline or revenue visibility [3]. R&amp;D Intensity (0/1): No disclosed R&amp;D spending; the company has minimal employees and operates primarily through licensing.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discernible mission or purpose statement on the company website or public materials; the company has pivoted twice in two years (sports tech → AI matchmaking → Web3 tokenization), suggesting no enduring purpose beyond chasing trends [3]. Community Impact (0/2): No evidence of charitable programs or community investment. Employee Retention (0/2): No employee count disclosed; board average tenure is only 0.9 years, suggesting constant leadership turnover [2]. Insider Buying (2/2): Meaningful insider buying was reported in early 2026, triggering a stock surge and retail FOMO, with specific purchases by company insiders cited by StockTwits coverage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AiRWA's balance sheet is paradoxically clean for a micro-cap — D/E of just 0.42% with $41M cash against $784K debt [4]. However, profitability is essentially nonexistent with -3.5% profit margin and near-zero ROE (0.008%) on TTM revenue of only $16M [1][4]. Revenue growth of 113% YoY is impressive but off a tiny base ($7M quarterly). Forward P/E is unavailable due to no analyst coverage. The trailing P/E of 0.15x reflects a one-time earnings anomaly, not sustainable profitability. The $38M market cap and $0.91 share price (post-1:50 reverse split) signal extreme speculative risk. Liquidity floor narrowly clears: 1.15M avg volume × $0.91 = $1.05M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AiRWA is the epitome of finite-game thinking — a company that has reinvented itself twice in two years, pivoting from sports technology to AI matchmaking to Web3 tokenization, chasing whatever trend captures retail investor attention. There is no enduring cause, no consistent strategy, and no evidence of long-term organizational building.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exists. The company's identity has shifted from sports equipment (Connexa Sports) to AI dating (AiRWA matchmaking) to blockchain tokenization (AiRWA Exchange) within 24 months [3]. Each pivot appears driven by market narrative rather than any enduring vision. Sinek would identify this as a textbook finite player chasing short-term relevance.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Board tenure averages just 0.9 years, indicating no organizational stability [2]. CEO Thomas Tarala joined in November 2024, inheriting a company mid-pivot. No employee count is disclosed, and the company appears to operate primarily through licensing subsidiaries with minimal direct workforce. There is no evidence of team-building or organizational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AiRWA competes in sectors dominated by vastly larger players — Match Group in dating, Coinbase/Robinhood in tokenized securities — but shows no evidence of learning from these rivals or articulating what they do better. The competitive posture appears to be avoidance through niche pivoting rather than direct engagement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demonstrated extreme flexibility in pivoting twice, but Sinek's concept of existential flexibility requires pivoting in service of a Just Cause — not abandoning one business for another with no connecting thread [3]. The sports-to-dating-to-blockchain trajectory suggests opportunism, not strategic flexibility in service of enduring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Leadership executed a 1-for-50 reverse stock split and announced a $30M Solana token receipt to fund the AiRWA Exchange, but these actions read as financial engineering to maintain listing compliance and generate headlines rather than courageous long-term investment [3]. Auditors flagged substantial doubt about going-concern status, yet leadership continued aggressive pivoting.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AiRWA is a $38M micro-cap that has pivoted twice in two years — from sports technology (Connexa Sports) to AI-powered matchmaking to Web3 real-world asset tokenization on Solana [1][3]. Q3 revenue of $7M represented 113% YoY growth, driven by YYEM licensing royalties, and the company holds $41M in cash against minimal debt [4]. The $30M Solana token receipt and planned launch to 4M JuCoin users represent the next phase of the tokenized equities strategy [3]. Insider buying in early 2026 provided a brief sentiment catalyst [3].</w:t>
      </w:r>
    </w:p>
    <w:p>
      <w:pPr>
        <w:spacing w:after="120"/>
      </w:pPr>
      <w:r>
        <w:rPr>
          <w:rFonts w:ascii="Calibri" w:hAnsi="Calibri"/>
          <w:b w:val="0"/>
          <w:color w:val="3A4A28"/>
          <w:sz w:val="20"/>
        </w:rPr>
        <w:t>The bear case is overwhelming. The stock collapsed 92% following the blockchain pivot announcement, and auditors flagged going-concern doubt with just $54,000 in cash at the time [3]. The trailing P/E of 0.15x reflects a one-time anomaly, not recurring earnings power — operating margins are -22.5% and profit margin is -3.5% [4]. Zero analyst coverage, a $38M market cap, and a 1-for-50 reverse split signal extreme speculative risk. The company has no proprietary technology moat, no scale, and no proven ability to execute in any of its three business identities. Revenue of $16M TTM from a licensing subsidiary does not justify the risk profile. Web3 tokenization faces significant regulatory headwinds that could render the entire business model non-viable.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launch of AiRWA Exchange tokenized equities platform to 4M JuCoin users could validate the Web3 pivot and generate transaction-based revenue [3]</w:t>
      </w:r>
    </w:p>
    <w:p>
      <w:pPr>
        <w:spacing w:before="40" w:after="40"/>
        <w:ind w:left="283"/>
      </w:pPr>
      <w:r>
        <w:rPr>
          <w:rFonts w:ascii="Calibri" w:hAnsi="Calibri"/>
          <w:b/>
          <w:color w:val="4A6B25"/>
          <w:sz w:val="20"/>
        </w:rPr>
        <w:t xml:space="preserve">2. </w:t>
      </w:r>
      <w:r>
        <w:rPr>
          <w:rFonts w:ascii="Calibri" w:hAnsi="Calibri"/>
          <w:b w:val="0"/>
          <w:color w:val="3A4A28"/>
          <w:sz w:val="20"/>
        </w:rPr>
        <w:t>Deployment of $30M Solana tokens into exchange infrastructure could accelerate product development and user acquisition [3]</w:t>
      </w:r>
    </w:p>
    <w:p>
      <w:pPr>
        <w:spacing w:before="40" w:after="40"/>
        <w:ind w:left="283"/>
      </w:pPr>
      <w:r>
        <w:rPr>
          <w:rFonts w:ascii="Calibri" w:hAnsi="Calibri"/>
          <w:b/>
          <w:color w:val="4A6B25"/>
          <w:sz w:val="20"/>
        </w:rPr>
        <w:t xml:space="preserve">3. </w:t>
      </w:r>
      <w:r>
        <w:rPr>
          <w:rFonts w:ascii="Calibri" w:hAnsi="Calibri"/>
          <w:b w:val="0"/>
          <w:color w:val="3A4A28"/>
          <w:sz w:val="20"/>
        </w:rPr>
        <w:t>Continuation of 100%+ revenue growth from YYEM matchmaking licensing could provide baseline cash flow while the exchange scales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auditors flagged substantial doubt about liquidity; the company had $54,000 cash at the pivot and relies on token receipts and licensing revenue to fund operations [3]</w:t>
      </w:r>
    </w:p>
    <w:p>
      <w:pPr>
        <w:spacing w:before="40" w:after="40"/>
        <w:ind w:left="283"/>
      </w:pPr>
      <w:r>
        <w:rPr>
          <w:rFonts w:ascii="Calibri" w:hAnsi="Calibri"/>
          <w:b/>
          <w:color w:val="4A6B25"/>
          <w:sz w:val="20"/>
        </w:rPr>
        <w:t xml:space="preserve">2. </w:t>
      </w:r>
      <w:r>
        <w:rPr>
          <w:rFonts w:ascii="Calibri" w:hAnsi="Calibri"/>
          <w:b w:val="0"/>
          <w:color w:val="3A4A28"/>
          <w:sz w:val="20"/>
        </w:rPr>
        <w:t>Regulatory risk — tokenized equities face SEC scrutiny and evolving crypto regulations that could restrict or prohibit AiRWA's core Web3 business model [3]</w:t>
      </w:r>
    </w:p>
    <w:p>
      <w:pPr>
        <w:spacing w:before="40" w:after="40"/>
        <w:ind w:left="283"/>
      </w:pPr>
      <w:r>
        <w:rPr>
          <w:rFonts w:ascii="Calibri" w:hAnsi="Calibri"/>
          <w:b/>
          <w:color w:val="4A6B25"/>
          <w:sz w:val="20"/>
        </w:rPr>
        <w:t xml:space="preserve">3. </w:t>
      </w:r>
      <w:r>
        <w:rPr>
          <w:rFonts w:ascii="Calibri" w:hAnsi="Calibri"/>
          <w:b w:val="0"/>
          <w:color w:val="3A4A28"/>
          <w:sz w:val="20"/>
        </w:rPr>
        <w:t>Execution risk — two major pivots in two years with no proven ability to scale any business; micro-cap status ($38M) and 1-for-50 reverse split signal survival-mode operations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(2/9): AiRWA's core business — AI-powered matchmaking and Web3 tokenization — operates in segments with extremely low barriers to entry. AI dating apps face intense competition from established platforms (Match Group, Bumble) that are deploying far more sophisticated AI features with vastly larger datasets. The tokenization of equities via blockchain faces regulatory uncertainty and competition from major financial institutions building similar infrastructure [3]. The company has no proprietary moat, no scale advantage, and no regulatory protection. AI Opportunity (1/1): The company does generate revenue from AI-powered matchmaking software through YYEM licensing royalties, qualifying as measurable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AiRWA Inc. Q3 Quarterly Earnings Results — revenue $7M, TTM revenue $16M, net margin 6.47% — Daily Political, March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AiRWA (YYAI) Leadership &amp; Management Analysis: board tenure 0.9 years, CEO Thomas Tarala since November 2024</w:t>
      </w:r>
    </w:p>
    <w:p>
      <w:pPr>
        <w:spacing w:before="20" w:after="20"/>
        <w:ind w:left="170"/>
      </w:pPr>
      <w:r>
        <w:rPr>
          <w:rFonts w:ascii="Calibri" w:hAnsi="Calibri"/>
          <w:b/>
          <w:color w:val="4A6B25"/>
          <w:sz w:val="15"/>
        </w:rPr>
        <w:t xml:space="preserve">3. </w:t>
      </w:r>
      <w:r>
        <w:rPr>
          <w:rFonts w:ascii="Calibri" w:hAnsi="Calibri"/>
          <w:b w:val="0"/>
          <w:color w:val="3A4A28"/>
          <w:sz w:val="17"/>
        </w:rPr>
        <w:t>StockTwits, Rolling Out, StockTitan — AiRWA blockchain pivot, 92% stock collapse, $30M Solana token receipt, insider buying, 1-for-50 reverse split, October 2025–March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YYAI — price $0.91, market cap $38M, D/E 0.42%, ROE 0.01%, profit margin -3.5%, avg volume 1.15M,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