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ZIM</w:t>
      </w:r>
      <w:r>
        <w:rPr>
          <w:rFonts w:ascii="Calibri" w:hAnsi="Calibri"/>
          <w:b/>
          <w:color w:val="1A2010"/>
          <w:sz w:val="40"/>
        </w:rPr>
        <w:t xml:space="preserve">  ZIM Integrated Shipping Services Ltd.</w:t>
      </w:r>
    </w:p>
    <w:p>
      <w:pPr>
        <w:spacing w:after="120"/>
      </w:pPr>
      <w:r>
        <w:rPr>
          <w:rFonts w:ascii="Calibri" w:hAnsi="Calibri"/>
          <w:b/>
          <w:color w:val="6E8450"/>
          <w:sz w:val="18"/>
        </w:rPr>
        <w:t>GROWTH SLEEVE · 2026-04-02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Israel</w:t>
      </w:r>
    </w:p>
    <w:p>
      <w:pPr>
        <w:spacing w:after="80"/>
      </w:pPr>
      <w:r>
        <w:rPr>
          <w:rFonts w:ascii="Calibri" w:hAnsi="Calibri"/>
          <w:b w:val="0"/>
          <w:color w:val="3A4A28"/>
          <w:sz w:val="20"/>
        </w:rPr>
        <w:t>ZIM Integrated Shipping Services provides container shipping and related logistics services globally, operating a fleet of 128 vessels including 115 container ships and 13 vehicle transport vessels across 56 weekly lines. Founded in 1945 and headquartered in Haifa, Israel, ZIM serves end-users, consolidators, and freight forwarders with door-to-door and port-to-port transportation.</w:t>
      </w:r>
    </w:p>
    <w:p>
      <w:r>
        <w:rPr>
          <w:rFonts w:ascii="Calibri" w:hAnsi="Calibri"/>
          <w:b/>
          <w:color w:val="6E8450"/>
          <w:sz w:val="18"/>
        </w:rPr>
        <w:t>4,714 Employees · https://www.zim.com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ZIM completed a 28-vessel LNG fleet renewal program in 2024, reducing emissions and modernizing capacity, but has not executed a transformative business model pivot — the company remains a mid-size container carrier in a commoditized industry [1][3]. AI Deployment (1/2): ZIM launched the ZIMark AI-driven partnership with We Store Frozen and invested in autonomous Pick &amp; Pack robotics through its ZIM Ventures startup incubator, but no quantified AI revenue or cost savings have been disclosed [2]. Market Share (0/2): ZIM is the 10th-largest container carrier globally with approximately 2% market share, a commodity participant without category leadership [1]. Pipeline (0/2): No next-generation products or services announced with specific timelines; the Hapag-Lloyd acquisition at $35/share dominates the corporate outlook [1]. R&amp;D Intensity (0/1): Shipping is capital-intensive but not R&amp;D-intensive; ZIM's technology investment through ZIM Ventures is modest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ZIM's tagline 'Innovative Shipping Dedicated to You' identifies the company's service orientation but lacks deeper purpose beyond operational excellence — it is interchangeable with peer messaging [2]. Community Impact (1/2): ZIM publishes annual ESG reports (seventh edition in 2024), maintains ESG Trustees across global agencies, and has invested in community engagement programs, though specific dollar amounts for charitable initiatives are not disclosed [3]. Employee Retention (1/2): Glassdoor rating of 4.4/5.0 across 1,703 reviews with 91% recommendation rate and 98% CEO approval; management average tenure of 7.8 years suggests stable leadership, though the company employs only 4,714 people [2]. Insider Buying (0/2): CEO Eli Glickman sold 87% of his holdings below the $35/share Hapag-Lloyd offer price, signaling meaningful insider skepticism about deal completion — this is net selling, not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ZIM's financial profile reflects a cyclical shipping business in a downturn. D/E of 142.5% is elevated but manageable for an asset-heavy shipping company with $5.7B debt against $1.8B cash [1]. ROE of 11.9% is below target but positive, reflecting the cyclical trough after 2024's boom year. Revenue declined 31.5% YoY in Q4 but 5-year CAGR remains strong at approximately 15% given the COVID-era boom. Profit margin of 6.9% is thin, reflecting freight rate compression to $1,333/TEU (down 29% YoY) [1]. Forward P/E is negative (losses expected), excluded from calculation. Liquidity floor easily cleared: 3.69M avg volume × $25.95 = $95.7M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ZIM operates with a largely finite mindset — the company is defined by cyclical freight rate exploitation, variable dividend policies that swing wildly with earnings, and a pending $4.2B sale to Hapag-Lloyd that represents an exit rather than a long-term vision. The fleet renewal into LNG vessels shows some forward thinking, but leadership's insider selling below the offer price signals short-term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ZIM's purpose — 'Innovative Shipping Dedicated to You' — reads as marketing rather than a genuine Just Cause [2]. The company exists to move containers profitably, and its strategic review process leading to a $35/share sale to Hapag-Lloyd suggests leadership views the company as a financial asset rather than an enduring institution with a cause worth advancing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4.4/5.0 with 91% recommendation rate and 98% CEO approval suggests genuine employee trust [2]. Reviews describe 'family-oriented atmosphere' and accessible management. However, the company's 4,714 employees face uncertainty from the Hapag-Lloyd acquisition, and CEO insider selling undermines leadership trust signals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ZIM's competitive language centers on market positioning and freight rate competitiveness rather than learning from rivals [2]. The acceptance of Hapag-Lloyd's acquisition offer, rather than competing to build a stronger independent company, suggests a finite competitive orientation — playing to exit rather than playing to improve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28-vessel LNG fleet renewal program demonstrates willingness to invest in next-generation assets, and ZIM Ventures' startup investments show openness to digital transformation [2][3]. However, these are incremental adaptations within the same business model — ZIM has not fundamentally reinvented itself. The decision to sell to Hapag-Lloyd rather than pivot independently is the opposite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LNG fleet renewal was a bold capital commitment during a cyclical downturn, demonstrating some courage to invest in long-term capability [3]. However, the decision to accept Hapag-Lloyd's offer and CEO insider selling suggest leadership chose financial certainty over building an independent future — courage to lead would mean betting on ZIM's standalone potential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ZIM trades at 6.5x trailing earnings with a 7.7% dividend yield and a pending $35/share all-cash acquisition from Hapag-Lloyd, representing 35% upside from the current $25.95 price [1]. The company generated $6.9B in 2025 revenue with $481M net income and $1.4B free cash flow despite a cyclical freight rate downturn. The 28-vessel LNG fleet renewal positions ZIM competitively on emissions and fuel costs. At current levels, the stock offers asymmetric upside if the Hapag-Lloyd deal closes, with downside protected by tangible book value and cash generation capability [1][4].</w:t>
      </w:r>
    </w:p>
    <w:p>
      <w:pPr>
        <w:spacing w:after="120"/>
      </w:pPr>
      <w:r>
        <w:rPr>
          <w:rFonts w:ascii="Calibri" w:hAnsi="Calibri"/>
          <w:b w:val="0"/>
          <w:color w:val="3A4A28"/>
          <w:sz w:val="20"/>
        </w:rPr>
        <w:t>The bear case is significant: the Hapag-Lloyd deal faces major regulatory and political hurdles — Israel's 'Golden Share' gives the government veto power over any acquisition, and a Knesset panel raised national security concerns given Hapag-Lloyd's Qatari and Saudi sovereign wealth fund shareholders [3]. CEO Eli Glickman's sale of 87% of holdings below the offer price implies meaningful deal failure probability [2]. If the deal collapses, ZIM faces a brutal freight rate environment with revenue down 31.5% YoY, forward earnings expectations negative (negative forward P/E), and industry overcapacity projected to worsen through 2027. The variable dividend policy means payouts could be slashed to zero in a prolonged downturn, as the 107.5% payout ratio is already unsustainable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Hapag-Lloyd $35/share acquisition closing would deliver 35% upside from current levels, with regulatory and Israeli government approvals as key milestones [1]</w:t>
      </w:r>
    </w:p>
    <w:p>
      <w:pPr>
        <w:spacing w:before="40" w:after="40"/>
        <w:ind w:left="283"/>
      </w:pPr>
      <w:r>
        <w:rPr>
          <w:rFonts w:ascii="Calibri" w:hAnsi="Calibri"/>
          <w:b/>
          <w:color w:val="4A6B25"/>
          <w:sz w:val="20"/>
        </w:rPr>
        <w:t xml:space="preserve">2. </w:t>
      </w:r>
      <w:r>
        <w:rPr>
          <w:rFonts w:ascii="Calibri" w:hAnsi="Calibri"/>
          <w:b w:val="0"/>
          <w:color w:val="3A4A28"/>
          <w:sz w:val="20"/>
        </w:rPr>
        <w:t>Freight rate recovery from cyclical trough — Red Sea disruptions and potential supply chain normalization could support rate improvement in H2 2026 [1]</w:t>
      </w:r>
    </w:p>
    <w:p>
      <w:pPr>
        <w:spacing w:before="40" w:after="40"/>
        <w:ind w:left="283"/>
      </w:pPr>
      <w:r>
        <w:rPr>
          <w:rFonts w:ascii="Calibri" w:hAnsi="Calibri"/>
          <w:b/>
          <w:color w:val="4A6B25"/>
          <w:sz w:val="20"/>
        </w:rPr>
        <w:t xml:space="preserve">3. </w:t>
      </w:r>
      <w:r>
        <w:rPr>
          <w:rFonts w:ascii="Calibri" w:hAnsi="Calibri"/>
          <w:b w:val="0"/>
          <w:color w:val="3A4A28"/>
          <w:sz w:val="20"/>
        </w:rPr>
        <w:t>LNG fleet cost advantage — 28 new LNG vessels provide fuel cost savings of 20-25% versus conventional bunker fuel, improving margins in a low-rate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Hapag-Lloyd deal failure — Israeli Golden Share veto power, Knesset national security concerns about Qatari/Saudi shareholders, and CEO insider selling all signal material deal collapse probability [2][3]</w:t>
      </w:r>
    </w:p>
    <w:p>
      <w:pPr>
        <w:spacing w:before="40" w:after="40"/>
        <w:ind w:left="283"/>
      </w:pPr>
      <w:r>
        <w:rPr>
          <w:rFonts w:ascii="Calibri" w:hAnsi="Calibri"/>
          <w:b/>
          <w:color w:val="4A6B25"/>
          <w:sz w:val="20"/>
        </w:rPr>
        <w:t xml:space="preserve">2. </w:t>
      </w:r>
      <w:r>
        <w:rPr>
          <w:rFonts w:ascii="Calibri" w:hAnsi="Calibri"/>
          <w:b w:val="0"/>
          <w:color w:val="3A4A28"/>
          <w:sz w:val="20"/>
        </w:rPr>
        <w:t>Freight rate deterioration and overcapacity — industry-wide vessel deliveries through 2027 could push rates below breakeven for marginal carriers, with ZIM's $1,333/TEU average already down 29% YoY [1]</w:t>
      </w:r>
    </w:p>
    <w:p>
      <w:pPr>
        <w:spacing w:before="40" w:after="40"/>
        <w:ind w:left="283"/>
      </w:pPr>
      <w:r>
        <w:rPr>
          <w:rFonts w:ascii="Calibri" w:hAnsi="Calibri"/>
          <w:b/>
          <w:color w:val="4A6B25"/>
          <w:sz w:val="20"/>
        </w:rPr>
        <w:t xml:space="preserve">3. </w:t>
      </w:r>
      <w:r>
        <w:rPr>
          <w:rFonts w:ascii="Calibri" w:hAnsi="Calibri"/>
          <w:b w:val="0"/>
          <w:color w:val="3A4A28"/>
          <w:sz w:val="20"/>
        </w:rPr>
        <w:t>Unsustainable dividend — 107.5% payout ratio with negative forward earnings means the current $1.99/share dividend is likely to be cut significantly, removing yield support for the stock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Container shipping is a physical-world infrastructure business that AI structurally cannot displace — ships, ports, and global trade routes require tangible assets and human coordination that no AI system can substitute [2]. Freight rate dynamics are driven by supply/demand imbalances, geopolitical disruptions (Red Sea rerouting), and fleet capacity, not by technology substitution. AI actually enhances shipping operations through route optimization, demand forecasting, and warehouse automation. Analysts do not cite AI as a disruption risk for ZIM's core business [2]. AI Opportunity (0/1): While ZIM has invested in AI logistics partnerships (ZIMark, autonomous Pick &amp; Pack) through ZIM Ventures, no quantifiable AI-driven revenue has been disclosed — these remain early-stage digital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ZIM Q4 2025 Earnings Release — $1.48B revenue (down 32% YoY), $0.32 adjusted EPS vs. -$0.99 estimate,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Seeking Alpha, Simply Wall St — ZIM leadership analysis, CEO insider selling, AI logistics partnerships,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ZIM 2024 ESG Report, Sustainalytics — ESG ratings, LNG fleet renewal, governance structure,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ZIM,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