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ZNTL</w:t>
      </w:r>
      <w:r>
        <w:rPr>
          <w:rFonts w:ascii="Calibri" w:hAnsi="Calibri"/>
          <w:b/>
          <w:color w:val="1A2010"/>
          <w:sz w:val="40"/>
        </w:rPr>
        <w:t xml:space="preserve">  Zentalis Pharmaceuticals, Inc.</w:t>
      </w:r>
    </w:p>
    <w:p>
      <w:pPr>
        <w:spacing w:after="120"/>
      </w:pPr>
      <w:r>
        <w:rPr>
          <w:rFonts w:ascii="Calibri" w:hAnsi="Calibri"/>
          <w:b/>
          <w:color w:val="6E8450"/>
          <w:sz w:val="18"/>
        </w:rPr>
        <w:t>GROWTH SLEEVE · 2026-04-29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Zentalis Pharmaceuticals is a clinical-stage biopharmaceutical company focused on discovering and developing small molecule therapeutics for cancer treatment. Its lead candidate, azenosertib, is a potentially first-in-class WEE1 inhibitor in late-stage development for Cyclin E1-positive platinum-resistant ovarian cancer.</w:t>
      </w:r>
    </w:p>
    <w:p>
      <w:r>
        <w:rPr>
          <w:rFonts w:ascii="Calibri" w:hAnsi="Calibri"/>
          <w:b/>
          <w:color w:val="6E8450"/>
          <w:sz w:val="18"/>
        </w:rPr>
        <w:t>106 Employees · https://zentalis.com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Azenosertib is a potentially first-in-class WEE1 inhibitor with a biomarker-driven approach (Cyclin E1+) to platinum-resistant ovarian cancer, representing genuine scientific novelty in the targeted oncology space. However, the company has not yet demonstrated commercial success or a second product launch [1][2]. AI Deployment (0/2): No proprietary AI deployment. The strategic collaboration with Caris Life Sciences leverages Caris's AI and machine learning for molecular profiling and patient identification, but this is a partnership capability, not Zentalis-developed technology [3]. Market Share (1/2): Pre-commercial stage targeting an underserved niche — Cyclin E1+ platinum-resistant ovarian cancer has no approved targeted therapies. The biomarker-driven approach could capture meaningful share in this specific population if approved [1]. Product Pipeline (1/2): Clear near-term milestones — DENALI Part 2 dose confirmation in H1 2026, topline readout by year-end 2026 that could support accelerated approval. ASPENOVA Phase 3 and MUIR combination study provide additional pipeline depth [1][2]. R&amp;D Intensity (1/1): R&amp;D spending dominates the P&amp;L for this clinical-stage company with $67.4M in revenue (primarily collaboration revenue) against substantial trial costs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Zentalis describes itself as a 'clinical oncology innovator' focused on 'advancing late-stage development' of cancer treatments. This is functional and identifies the therapeutic area but reads as generic industry language interchangeable with dozens of oncology biotechs. No distinctive vision beyond developing cancer drugs [4]. Community Impact (0/2): No evidence of charitable foundation, community programs, or philanthropic initiatives beyond the therapeutic mission itself [4]. Employee Retention (1/2): Significant concerns — the company laid off 40% of its workforce in January 2025 to conserve cash for registrational trials, and Glassdoor shows a 2.4/5 rating with severe leadership criticism. Reviews cite 'incredibly passive aggressive, condescending, micromanaging CEO' and complete C-suite turnover including 2 CMOs in 6 months, lost CFO, CSO, and multiple SVPs [5][6]. Insider Buying (1/2): CEO Julie Eastland was appointed as part of the leadership transition, bringing experience from Harpoon Therapeutics (acquired by Merck). No specific insider buying data was identified, though new leadership appointments signal board confidence in the strategic direction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Zentalis scores poorly on infrastructure despite adequate liquidity. Debt-to-equity of 18.3% is manageable, scoring at the target level, but all profitability and growth metrics are at floor values: ROE of -49.5%, zero profit margin, and no reported revenue growth [1]. The $280.7M cash position (as of September 2025) provides runway into late 2027, beyond the anticipated DENALI Part 2 topline readout, which is adequate for trial completion. However, the company generates no product revenue and is entirely dependent on trial success for future value creation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Zentalis exhibits predominantly finite-game characteristics: a company focused on surviving long enough to reach a binary clinical trial readout, having already cut 40% of staff, experienced complete C-suite turnover, and facing severe internal culture challenges. The company plays to win this specific trial,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platinum-resistant ovarian cancer is a worthy therapeutic goal serving patients with limited options. However, Zentalis articulates this as a product development opportunity rather than a transformative cause. The company's communications focus on trial milestones, accelerated approval pathways, and commercial opportunity rather than a broader vision for cancer treatment. The cause exists but doesn't differentiate Zentalis from any other oncology biotech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Severe evidence of a low-trust environment. Glassdoor rating of 2.4/5 with only 1.9/5 for culture and values. Employee reviews describe the CEO as 'incredibly passive aggressive, condescending, micromanaging and just plain mean.' Complete C-suite turnover — 2 CMOs in 6 months, lost CFO, CSO, and multiple SVPs. The 40% workforce reduction in January 2025 further eroded organizational trust [5][6].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Zentalis positions azenosertib as 'first-in-class' and frames competition primarily through differentiation language. No evidence of management acknowledging competitors' strengths as motivation for improvement. The competitive framing is about winning the WEE1 race, not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Zentalis made a significant strategic pivot in 2024-2025, narrowing from a multi-asset oncology platform to a focused single-asset strategy around azenosertib for Cyclin E1+ ovarian cancer. This required the painful decision to cut 40% of staff and abandon earlier-stage programs. While driven by capital constraints rather than visionary reinvention, it demonstrates willingness to make difficult strategic choices [6][8].</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40% workforce reduction, while strategically necessary, reflects resource-constrained survival tactics rather than courageous long-term investment. The FDA partial clinical hold in June 2024 after two patient deaths from presumed sepsis, followed by the company's decision to continue the program, raises questions about whether the push to advance was courageous or reckless. No evidence of leadership sacrificing short-term results for long-term capability building [6][8].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Zentalis offers a high-risk, high-reward binary bet on azenosertib, a potentially first-in-class WEE1 inhibitor for Cyclin E1-positive platinum-resistant ovarian cancer — a patient population with no approved targeted therapies. The DENALI Part 2 topline readout expected by year-end 2026 could support accelerated approval, and the $280.7M cash position provides runway into late 2027. Guggenheim recently raised its price target on program momentum, and the biomarker-driven approach could define a new treatment paradigm [1][2][9].</w:t>
      </w:r>
    </w:p>
    <w:p>
      <w:pPr>
        <w:spacing w:after="120"/>
      </w:pPr>
      <w:r>
        <w:rPr>
          <w:rFonts w:ascii="Calibri" w:hAnsi="Calibri"/>
          <w:b w:val="0"/>
          <w:color w:val="3A4A28"/>
          <w:sz w:val="20"/>
        </w:rPr>
        <w:t>The bear case is substantial: Zentalis has no product revenue, a $287M market cap, 2.4/5 Glassdoor rating with devastating leadership reviews, complete C-suite turnover, and 40% workforce cuts. The FDA placed partial clinical holds in 2024 after two patient deaths, raising safety concerns even though holds were later lifted. Sustainalytics rates Zentalis's ESG risk management as weak. The stock trades at $4.05, reflecting the market's skepticism that a 106-person company with severe cultural dysfunction can execute a registrational program against well-funded competitors [5][6][8][10].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DENALI Part 2 topline readout by year-end 2026, potentially supporting accelerated FDA approval for azenosertib in Cyclin E1+ platinum-resistant ovarian cancer</w:t>
      </w:r>
    </w:p>
    <w:p>
      <w:pPr>
        <w:spacing w:before="40" w:after="40"/>
        <w:ind w:left="283"/>
      </w:pPr>
      <w:r>
        <w:rPr>
          <w:rFonts w:ascii="Calibri" w:hAnsi="Calibri"/>
          <w:b/>
          <w:color w:val="4A6B25"/>
          <w:sz w:val="20"/>
        </w:rPr>
        <w:t xml:space="preserve">2. </w:t>
      </w:r>
      <w:r>
        <w:rPr>
          <w:rFonts w:ascii="Calibri" w:hAnsi="Calibri"/>
          <w:b w:val="0"/>
          <w:color w:val="3A4A28"/>
          <w:sz w:val="20"/>
        </w:rPr>
        <w:t>ASPENOVA Phase 3 trial enrollment comparing azenosertib to standard-of-care chemotherapy, providing registrational-quality evidence for broader approval</w:t>
      </w:r>
    </w:p>
    <w:p>
      <w:pPr>
        <w:spacing w:before="40" w:after="40"/>
        <w:ind w:left="283"/>
      </w:pPr>
      <w:r>
        <w:rPr>
          <w:rFonts w:ascii="Calibri" w:hAnsi="Calibri"/>
          <w:b/>
          <w:color w:val="4A6B25"/>
          <w:sz w:val="20"/>
        </w:rPr>
        <w:t xml:space="preserve">3. </w:t>
      </w:r>
      <w:r>
        <w:rPr>
          <w:rFonts w:ascii="Calibri" w:hAnsi="Calibri"/>
          <w:b w:val="0"/>
          <w:color w:val="3A4A28"/>
          <w:sz w:val="20"/>
        </w:rPr>
        <w:t>Partnership or acquisition premium from larger oncology companies seeking first-in-class WEE1 inhibitor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DENALI Part 2 data would eliminate the investment thesis for a company with no other late-stage assets or product revenue</w:t>
      </w:r>
    </w:p>
    <w:p>
      <w:pPr>
        <w:spacing w:before="40" w:after="40"/>
        <w:ind w:left="283"/>
      </w:pPr>
      <w:r>
        <w:rPr>
          <w:rFonts w:ascii="Calibri" w:hAnsi="Calibri"/>
          <w:b/>
          <w:color w:val="4A6B25"/>
          <w:sz w:val="20"/>
        </w:rPr>
        <w:t xml:space="preserve">2. </w:t>
      </w:r>
      <w:r>
        <w:rPr>
          <w:rFonts w:ascii="Calibri" w:hAnsi="Calibri"/>
          <w:b w:val="0"/>
          <w:color w:val="3A4A28"/>
          <w:sz w:val="20"/>
        </w:rPr>
        <w:t>Severe organizational instability with 2.4/5 Glassdoor rating, complete C-suite turnover, and 40% workforce reduction undermining execution capability for complex registrational trials</w:t>
      </w:r>
    </w:p>
    <w:p>
      <w:pPr>
        <w:spacing w:before="40" w:after="40"/>
        <w:ind w:left="283"/>
      </w:pPr>
      <w:r>
        <w:rPr>
          <w:rFonts w:ascii="Calibri" w:hAnsi="Calibri"/>
          <w:b/>
          <w:color w:val="4A6B25"/>
          <w:sz w:val="20"/>
        </w:rPr>
        <w:t xml:space="preserve">3. </w:t>
      </w:r>
      <w:r>
        <w:rPr>
          <w:rFonts w:ascii="Calibri" w:hAnsi="Calibri"/>
          <w:b w:val="0"/>
          <w:color w:val="3A4A28"/>
          <w:sz w:val="20"/>
        </w:rPr>
        <w:t>Safety signal risk following 2024 FDA partial clinical hold after two patient deaths from presumed sepsis, which could resurface in larger registrational studies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Zentalis develops small molecule oncology therapeutics requiring clinical trials, FDA regulatory approval, GMP manufacturing, and physician adoption — all structurally protected from AI substitution. The company's biomarker-driven approach (Cyclin E1+) involves molecular diagnostics that complement rather than compete with AI. However, AI-accelerated drug discovery from larger competitors could compress Zentalis's first-mover advantage in the WEE1 inhibitor space, and AI-driven clinical trial optimization could enable faster competing programs [1][3]. AI Opportunity (0/1): No direct AI revenue. The Caris Life Sciences partnership utilizes AI for patient identification, but this generates no revenue for Zentalis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Zentalis Pharmaceuticals Full Year 2025 Financial Results and Operational Updates, March 2026</w:t>
      </w:r>
    </w:p>
    <w:p>
      <w:pPr>
        <w:spacing w:before="20" w:after="20"/>
        <w:ind w:left="170"/>
      </w:pPr>
      <w:r>
        <w:rPr>
          <w:rFonts w:ascii="Calibri" w:hAnsi="Calibri"/>
          <w:b/>
          <w:color w:val="4A6B25"/>
          <w:sz w:val="15"/>
        </w:rPr>
        <w:t xml:space="preserve">2. </w:t>
      </w:r>
      <w:r>
        <w:rPr>
          <w:rFonts w:ascii="Calibri" w:hAnsi="Calibri"/>
          <w:b w:val="0"/>
          <w:color w:val="3A4A28"/>
          <w:sz w:val="17"/>
        </w:rPr>
        <w:t>Zentalis Pharmaceuticals 2026 Corporate Update and Key Milestones, January 2026</w:t>
      </w:r>
    </w:p>
    <w:p>
      <w:pPr>
        <w:spacing w:before="20" w:after="20"/>
        <w:ind w:left="170"/>
      </w:pPr>
      <w:r>
        <w:rPr>
          <w:rFonts w:ascii="Calibri" w:hAnsi="Calibri"/>
          <w:b/>
          <w:color w:val="4A6B25"/>
          <w:sz w:val="15"/>
        </w:rPr>
        <w:t xml:space="preserve">3. </w:t>
      </w:r>
      <w:r>
        <w:rPr>
          <w:rFonts w:ascii="Calibri" w:hAnsi="Calibri"/>
          <w:b w:val="0"/>
          <w:color w:val="3A4A28"/>
          <w:sz w:val="17"/>
        </w:rPr>
        <w:t>Zentalis Pharmaceuticals and Caris Life Sciences Strategic Collaboration announcement</w:t>
      </w:r>
    </w:p>
    <w:p>
      <w:pPr>
        <w:spacing w:before="20" w:after="20"/>
        <w:ind w:left="170"/>
      </w:pPr>
      <w:r>
        <w:rPr>
          <w:rFonts w:ascii="Calibri" w:hAnsi="Calibri"/>
          <w:b/>
          <w:color w:val="4A6B25"/>
          <w:sz w:val="15"/>
        </w:rPr>
        <w:t xml:space="preserve">4. </w:t>
      </w:r>
      <w:r>
        <w:rPr>
          <w:rFonts w:ascii="Calibri" w:hAnsi="Calibri"/>
          <w:b w:val="0"/>
          <w:color w:val="3A4A28"/>
          <w:sz w:val="17"/>
        </w:rPr>
        <w:t>Zentalis Pharmaceuticals company website — About Us and careers,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Zentalis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Fierce Biotech — Zentalis lays off 40% of staff to fund registrational trial, January 2025</w:t>
      </w:r>
    </w:p>
    <w:p>
      <w:pPr>
        <w:spacing w:before="20" w:after="20"/>
        <w:ind w:left="170"/>
      </w:pPr>
      <w:r>
        <w:rPr>
          <w:rFonts w:ascii="Calibri" w:hAnsi="Calibri"/>
          <w:b/>
          <w:color w:val="4A6B25"/>
          <w:sz w:val="15"/>
        </w:rPr>
        <w:t xml:space="preserve">7. </w:t>
      </w:r>
      <w:r>
        <w:rPr>
          <w:rFonts w:ascii="Calibri" w:hAnsi="Calibri"/>
          <w:b w:val="0"/>
          <w:color w:val="3A4A28"/>
          <w:sz w:val="17"/>
        </w:rPr>
        <w:t>Zentalis Pharmaceuticals Executive Leadership Changes announcement, November 2024</w:t>
      </w:r>
    </w:p>
    <w:p>
      <w:pPr>
        <w:spacing w:before="20" w:after="20"/>
        <w:ind w:left="170"/>
      </w:pPr>
      <w:r>
        <w:rPr>
          <w:rFonts w:ascii="Calibri" w:hAnsi="Calibri"/>
          <w:b/>
          <w:color w:val="4A6B25"/>
          <w:sz w:val="15"/>
        </w:rPr>
        <w:t xml:space="preserve">8. </w:t>
      </w:r>
      <w:r>
        <w:rPr>
          <w:rFonts w:ascii="Calibri" w:hAnsi="Calibri"/>
          <w:b w:val="0"/>
          <w:color w:val="3A4A28"/>
          <w:sz w:val="17"/>
        </w:rPr>
        <w:t>Zentalis Pharmaceuticals Full Year 2024 Financial Results and Operational Updates</w:t>
      </w:r>
    </w:p>
    <w:p>
      <w:pPr>
        <w:spacing w:before="20" w:after="20"/>
        <w:ind w:left="170"/>
      </w:pPr>
      <w:r>
        <w:rPr>
          <w:rFonts w:ascii="Calibri" w:hAnsi="Calibri"/>
          <w:b/>
          <w:color w:val="4A6B25"/>
          <w:sz w:val="15"/>
        </w:rPr>
        <w:t xml:space="preserve">9. </w:t>
      </w:r>
      <w:r>
        <w:rPr>
          <w:rFonts w:ascii="Calibri" w:hAnsi="Calibri"/>
          <w:b w:val="0"/>
          <w:color w:val="3A4A28"/>
          <w:sz w:val="17"/>
        </w:rPr>
        <w:t>Stockstotrade — Zentalis Stock Jumps as Guggenheim Lifts Price Target, April 2026</w:t>
      </w:r>
    </w:p>
    <w:p>
      <w:pPr>
        <w:spacing w:before="20" w:after="20"/>
        <w:ind w:left="170"/>
      </w:pPr>
      <w:r>
        <w:rPr>
          <w:rFonts w:ascii="Calibri" w:hAnsi="Calibri"/>
          <w:b/>
          <w:color w:val="4A6B25"/>
          <w:sz w:val="15"/>
        </w:rPr>
        <w:t xml:space="preserve">10. </w:t>
      </w:r>
      <w:r>
        <w:rPr>
          <w:rFonts w:ascii="Calibri" w:hAnsi="Calibri"/>
          <w:b w:val="0"/>
          <w:color w:val="3A4A28"/>
          <w:sz w:val="17"/>
        </w:rPr>
        <w:t>Sustainalytics — Zentalis Pharmaceuticals ESG Risk Rating,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