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ZVRA</w:t>
      </w:r>
      <w:r>
        <w:rPr>
          <w:rFonts w:ascii="Calibri" w:hAnsi="Calibri"/>
          <w:b/>
          <w:color w:val="1A2010"/>
          <w:sz w:val="40"/>
        </w:rPr>
        <w:t xml:space="preserve">  Zevra Therapeutics, Inc.</w:t>
      </w:r>
    </w:p>
    <w:p>
      <w:pPr>
        <w:spacing w:after="120"/>
      </w:pPr>
      <w:r>
        <w:rPr>
          <w:rFonts w:ascii="Calibri" w:hAnsi="Calibri"/>
          <w:b/>
          <w:color w:val="6E8450"/>
          <w:sz w:val="18"/>
        </w:rPr>
        <w:t>GROWTH SLEEVE · 2026-05-02 · Inspire: 45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Zevra Therapeutics is a commercial-stage rare disease company focused on developing and commercializing therapies for underserved patient populations. Its lead commercial product MIPLYFFA treats Niemann-Pick disease type C, with additional pipeline assets targeting idiopathic hypersomnia, narcolepsy, and vascular Ehlers-Danlos syndrome.</w:t>
      </w:r>
    </w:p>
    <w:p>
      <w:r>
        <w:rPr>
          <w:rFonts w:ascii="Calibri" w:hAnsi="Calibri"/>
          <w:b/>
          <w:color w:val="6E8450"/>
          <w:sz w:val="18"/>
        </w:rPr>
        <w:t>61 Employees · https://www.zevra.com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Zevra has successfully brought MIPLYFFA to market for ultra-rare NPC with &gt;40% penetration of diagnosed U.S. patients, demonstrating strong commercial execution in a niche market [1]. Pipeline includes Phase 3 assets KP1077 (idiopathic hypersomnia/narcolepsy) and Celiprolol (vascular EDS), showing disciplined rare-disease focus [1]. The Ligand Activated Technology platform provides a differentiated drug development approach, though R&amp;D intensity is modest given the company's small scale.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to empower people with rare diseases to live 'dazzling futures' provides a genuine patient-centered purpose that resonates with employees [2]. CEO Neil McFarlane (appointed Oct 2023) has rebuilt the leadership team with a dedicated Chief People Officer focused on culture design [2]. However, with only 61 employees and limited public data on retention or insider buying patterns, evidence of deep organizational inspiration remains thin.</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Exceptional profitability with 78% net margins and ROE of 85.7% driven by MIPLYFFA commercial success [3]. Revenue growth of 183% YoY demonstrates hypergrowth phase, with FY2025 revenue reaching $106.5M [1]. D/E ratio of 40.9% is manageable, forward P/E of 6.6x suggests significant undervaluation. Liquidity check: avg volume 997,490 x $10.07 = $10.0M, well above $1M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Zevra demonstrates a patient-first mission orientation typical of rare disease companies, with genuine long-term commitment to underserved populations, but limited track record under current leadership and small organizational scale constrain evidence of infinite game practices.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Serving rare disease patients with no alternatives is an inherently purpose-driven cause that transcends quarterly metrics. The company's focus on NPC (affecting ~1,200 U.S. patients) and vascular EDS demonstrates willingness to pursue small markets where patient need is greatest [1][2].</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With only 61 employees, the organization is small enough for strong interpersonal trust. Addition of a dedicated Chief People Officer signals cultural investment [2]. However, the company underwent a significant leadership overhaul in 2023-2024 including CEO change, suggesting some organizational instability.</w:t>
      </w:r>
    </w:p>
    <w:p>
      <w:pPr>
        <w:spacing w:before="200" w:after="40"/>
      </w:pPr>
      <w:r>
        <w:rPr>
          <w:rFonts w:ascii="Calibri" w:hAnsi="Calibri"/>
          <w:b/>
          <w:color w:val="1A2010"/>
          <w:sz w:val="22"/>
        </w:rPr>
        <w:t>Worthy Rivals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Operating in ultra-rare disease spaces with limited competition, Zevra faces few direct rivals for MIPLYFFA. The company acknowledges competitive dynamics through licensing arrangements (AZSTARYS with Commave) but limited evidence of using rivals as growth catalysts.</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transformation from KemPharm (an ADHD-focused company) to Zevra Therapeutics (rare disease focus) in 2023 demonstrates significant existential flexibility — the company pivoted its entire identity and strategy toward a more sustainable rare-disease model [1].</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Pursuing ultra-rare indications with small addressable markets when the company could have remained in larger ADHD space shows willingness to sacrifice short-term revenue potential for long-term differentiation. Neil McFarlane's $5.36M compensation is heavily equity-weighted (87%), aligning long-term incentives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Zevra represents a compelling rare-disease growth story with MIPLYFFA achieving rapid market penetration in ultra-orphan NPC, delivering 183% revenue growth and 78% profit margins that belie its $595M market cap. The forward P/E of 6.6x suggests the market is not pricing in sustained commercial execution or pipeline optionality from Phase 3 assets in idiopathic hypersomnia and vascular EDS.</w:t>
      </w:r>
    </w:p>
    <w:p>
      <w:pPr>
        <w:spacing w:after="120"/>
      </w:pPr>
      <w:r>
        <w:rPr>
          <w:rFonts w:ascii="Calibri" w:hAnsi="Calibri"/>
          <w:b w:val="0"/>
          <w:color w:val="3A4A28"/>
          <w:sz w:val="20"/>
        </w:rPr>
        <w:t>Key risk is single-product concentration — MIPLYFFA represents &gt;80% of revenue. The transition from early-launch hypergrowth to steady-state rare disease commercialization will test whether current margins are sustainable. Street consensus of $148M FY2026 revenue may prove conservative given Q4 2025 momentum of 31% sequential growth [1], but the ultra-rare patient pool creates a natural revenue ceiling.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KP1077 Phase 3 readout for idiopathic hypersomnia could significantly expand addressable market beyond NPC</w:t>
      </w:r>
    </w:p>
    <w:p>
      <w:pPr>
        <w:spacing w:before="40" w:after="40"/>
        <w:ind w:left="283"/>
      </w:pPr>
      <w:r>
        <w:rPr>
          <w:rFonts w:ascii="Calibri" w:hAnsi="Calibri"/>
          <w:b/>
          <w:color w:val="4A6B25"/>
          <w:sz w:val="20"/>
        </w:rPr>
        <w:t xml:space="preserve">2. </w:t>
      </w:r>
      <w:r>
        <w:rPr>
          <w:rFonts w:ascii="Calibri" w:hAnsi="Calibri"/>
          <w:b w:val="0"/>
          <w:color w:val="3A4A28"/>
          <w:sz w:val="20"/>
        </w:rPr>
        <w:t>MIPLYFFA penetration continuing above 40% of diagnosed NPC patients with potential international expansion</w:t>
      </w:r>
    </w:p>
    <w:p>
      <w:pPr>
        <w:spacing w:before="40" w:after="40"/>
        <w:ind w:left="283"/>
      </w:pPr>
      <w:r>
        <w:rPr>
          <w:rFonts w:ascii="Calibri" w:hAnsi="Calibri"/>
          <w:b/>
          <w:color w:val="4A6B25"/>
          <w:sz w:val="20"/>
        </w:rPr>
        <w:t xml:space="preserve">3. </w:t>
      </w:r>
      <w:r>
        <w:rPr>
          <w:rFonts w:ascii="Calibri" w:hAnsi="Calibri"/>
          <w:b w:val="0"/>
          <w:color w:val="3A4A28"/>
          <w:sz w:val="20"/>
        </w:rPr>
        <w:t>Celiprolol Phase 3 data for vascular EDS would add second rare-disease franchise with orphan exclusivity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Extreme single-product concentration with MIPLYFFA representing majority of revenue in an ultra-rare disease with limited patient pool</w:t>
      </w:r>
    </w:p>
    <w:p>
      <w:pPr>
        <w:spacing w:before="40" w:after="40"/>
        <w:ind w:left="283"/>
      </w:pPr>
      <w:r>
        <w:rPr>
          <w:rFonts w:ascii="Calibri" w:hAnsi="Calibri"/>
          <w:b/>
          <w:color w:val="4A6B25"/>
          <w:sz w:val="20"/>
        </w:rPr>
        <w:t xml:space="preserve">2. </w:t>
      </w:r>
      <w:r>
        <w:rPr>
          <w:rFonts w:ascii="Calibri" w:hAnsi="Calibri"/>
          <w:b w:val="0"/>
          <w:color w:val="3A4A28"/>
          <w:sz w:val="20"/>
        </w:rPr>
        <w:t>Small 61-person organization attempting multi-product commercialization may face execution challenges scaling operations</w:t>
      </w:r>
    </w:p>
    <w:p>
      <w:pPr>
        <w:spacing w:before="40" w:after="40"/>
        <w:ind w:left="283"/>
      </w:pPr>
      <w:r>
        <w:rPr>
          <w:rFonts w:ascii="Calibri" w:hAnsi="Calibri"/>
          <w:b/>
          <w:color w:val="4A6B25"/>
          <w:sz w:val="20"/>
        </w:rPr>
        <w:t xml:space="preserve">3. </w:t>
      </w:r>
      <w:r>
        <w:rPr>
          <w:rFonts w:ascii="Calibri" w:hAnsi="Calibri"/>
          <w:b w:val="0"/>
          <w:color w:val="3A4A28"/>
          <w:sz w:val="20"/>
        </w:rPr>
        <w:t>PEG ratio of 10.67 suggests growth expectations may be unrealistic relative to the natural ceiling of rare disease markets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Rare disease therapeutics face minimal AI disruption risk — drug development for ultra-orphan indications requires specialized clinical expertise, small patient populations, and regulatory pathways that AI cannot easily replicate or disrupt [1]. AI may modestly accelerate drug discovery in pipeline compounds (KP1077, Celiprolol) through target identification and clinical trial optimization, but the core business of manufacturing and distributing approved biologics remains insulated. The primary competitive moat is FDA-approved orphan drug exclusivity rather than any technology that AI could commoditize.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Zevra Therapeutics Q4/FY2025 Earnings Release, GlobeNewsWire, March 9, 2026</w:t>
      </w:r>
    </w:p>
    <w:p>
      <w:pPr>
        <w:spacing w:before="20" w:after="20"/>
        <w:ind w:left="170"/>
      </w:pPr>
      <w:r>
        <w:rPr>
          <w:rFonts w:ascii="Calibri" w:hAnsi="Calibri"/>
          <w:b/>
          <w:color w:val="4A6B25"/>
          <w:sz w:val="15"/>
        </w:rPr>
        <w:t xml:space="preserve">2. </w:t>
      </w:r>
      <w:r>
        <w:rPr>
          <w:rFonts w:ascii="Calibri" w:hAnsi="Calibri"/>
          <w:b w:val="0"/>
          <w:color w:val="3A4A28"/>
          <w:sz w:val="17"/>
        </w:rPr>
        <w:t>Zevra Therapeutics Leadership and Careers pages, zevra.com, accessed May 2026</w:t>
      </w:r>
    </w:p>
    <w:p>
      <w:pPr>
        <w:spacing w:before="20" w:after="20"/>
        <w:ind w:left="170"/>
      </w:pPr>
      <w:r>
        <w:rPr>
          <w:rFonts w:ascii="Calibri" w:hAnsi="Calibri"/>
          <w:b/>
          <w:color w:val="4A6B25"/>
          <w:sz w:val="15"/>
        </w:rPr>
        <w:t xml:space="preserve">3. </w:t>
      </w:r>
      <w:r>
        <w:rPr>
          <w:rFonts w:ascii="Calibri" w:hAnsi="Calibri"/>
          <w:b w:val="0"/>
          <w:color w:val="3A4A28"/>
          <w:sz w:val="17"/>
        </w:rPr>
        <w:t>Yahoo Finance — ZVRA key statistics, accessed May 2026</w:t>
      </w:r>
    </w:p>
    <w:p>
      <w:pPr>
        <w:spacing w:before="20" w:after="20"/>
        <w:ind w:left="170"/>
      </w:pPr>
      <w:r>
        <w:rPr>
          <w:rFonts w:ascii="Calibri" w:hAnsi="Calibri"/>
          <w:b/>
          <w:color w:val="4A6B25"/>
          <w:sz w:val="15"/>
        </w:rPr>
        <w:t xml:space="preserve">4. </w:t>
      </w:r>
      <w:r>
        <w:rPr>
          <w:rFonts w:ascii="Calibri" w:hAnsi="Calibri"/>
          <w:b w:val="0"/>
          <w:color w:val="3A4A28"/>
          <w:sz w:val="17"/>
        </w:rPr>
        <w:t>Sustainalytics ESG Risk Rating — Zevra Therapeutics, accessed May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