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rPr>
                <w:sz w:val="18"/>
              </w:rPr>
              <w:t>27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rPr>
                <w:sz w:val="18"/>
              </w:rPr>
              <w:t>Individual</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
              <w:rPr>
                <w:sz w:val="18"/>
              </w:rPr>
              <w:t>Global Olympic Sports Performance Analysis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Customer Count and Sales Overview</w:t>
      </w:r>
      <w:r w:rsidDel="00000000" w:rsidR="00000000" w:rsidRPr="00000000">
        <w:rPr>
          <w:rtl w:val="0"/>
        </w:rPr>
        <w:t xml:space="preserve">:The dashboard reports a total of 9,994 customers, with cumulative sales of 2.30M, a profit of 286.40K, and revenue of 11.49M. These figures highlight the overall scale and profitability of the store’s operations.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u w:val="none"/>
        </w:rPr>
      </w:pPr>
      <w:r w:rsidDel="00000000" w:rsidR="00000000" w:rsidRPr="00000000">
        <w:rPr>
          <w:b w:val="1"/>
          <w:bCs w:val="1"/>
          <w:rtl w:val="0"/>
        </w:rPr>
        <w:t xml:space="preserve">Highest Sales</w:t>
      </w:r>
      <w:r w:rsidDel="00000000" w:rsidR="00000000" w:rsidRPr="00000000">
        <w:rPr>
          <w:rtl w:val="0"/>
        </w:rPr>
        <w:t xml:space="preserve">: Copiers and Machines are the top-selling products, with sales values of 2.199M and 1.646M, respectively. This suggests strong demand or high price points for these products.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u w:val="none"/>
        </w:rPr>
      </w:pPr>
      <w:r w:rsidDel="00000000" w:rsidR="00000000" w:rsidRPr="00000000">
        <w:rPr>
          <w:b w:val="1"/>
          <w:bCs w:val="1"/>
          <w:rtl w:val="0"/>
        </w:rPr>
        <w:t xml:space="preserve">Peak Month</w:t>
      </w:r>
      <w:r w:rsidDel="00000000" w:rsidR="00000000" w:rsidRPr="00000000">
        <w:rPr>
          <w:rtl w:val="0"/>
        </w:rPr>
        <w:t xml:space="preserve">: December has the highest monthly sales at 352.46K, likely due to holiday shopping.</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u w:val="none"/>
        </w:rPr>
      </w:pPr>
      <w:r w:rsidDel="00000000" w:rsidR="00000000" w:rsidRPr="00000000">
        <w:rPr>
          <w:b w:val="1"/>
          <w:bCs w:val="1"/>
          <w:rtl w:val="0"/>
        </w:rPr>
        <w:t xml:space="preserve">Seasonal Sales Growth</w:t>
      </w:r>
      <w:r w:rsidDel="00000000" w:rsidR="00000000" w:rsidRPr="00000000">
        <w:rPr>
          <w:rtl w:val="0"/>
        </w:rPr>
        <w:t xml:space="preserve">:The monthly sales chart shows growth in specific months, such as March, September, October, and December, likely influenced by seasonal factors and sales events.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u w:val="none"/>
        </w:rPr>
      </w:pPr>
      <w:r w:rsidDel="00000000" w:rsidR="00000000" w:rsidRPr="00000000">
        <w:rPr>
          <w:b w:val="1"/>
          <w:bCs w:val="1"/>
          <w:rtl w:val="0"/>
        </w:rPr>
        <w:t xml:space="preserve">Sales Distribution Across Segments</w:t>
      </w:r>
      <w:r w:rsidDel="00000000" w:rsidR="00000000" w:rsidRPr="00000000">
        <w:rPr>
          <w:rtl w:val="0"/>
        </w:rPr>
        <w:t xml:space="preserve">: The </w:t>
      </w:r>
      <w:r w:rsidDel="00000000" w:rsidR="00000000" w:rsidRPr="00000000">
        <w:rPr>
          <w:b w:val="1"/>
          <w:bCs w:val="1"/>
          <w:rtl w:val="0"/>
        </w:rPr>
        <w:t xml:space="preserve">Consumer segment</w:t>
      </w:r>
      <w:r w:rsidDel="00000000" w:rsidR="00000000" w:rsidRPr="00000000">
        <w:rPr>
          <w:rtl w:val="0"/>
        </w:rPr>
        <w:t xml:space="preserve"> leads with 0.41M in sales, followed by Corporate at 0.25M, and Home Office at the lowest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p>
      <w:r>
        <w:rPr>
          <w:b/>
          <w:sz w:val="22"/>
        </w:rPr>
        <w:t>Planned 3 Dashboards</w:t>
      </w:r>
    </w:p>
    <w:p>
      <w:pPr>
        <w:spacing w:after="120"/>
      </w:pPr>
      <w:r>
        <w:t>Dashboard arrangement is planned as follows; publish links and screenshots remain to be added after the workbook is completed.</w:t>
      </w:r>
    </w:p>
    <w:tbl>
      <w:tblPr>
        <w:tblW w:type="auto" w:w="0"/>
        <w:tblLook w:firstColumn="1" w:firstRow="1" w:lastColumn="0" w:lastRow="0" w:noHBand="0" w:noVBand="1" w:val="04A0"/>
      </w:tblPr>
      <w:tblGrid>
        <w:gridCol w:w="3009"/>
        <w:gridCol w:w="3009"/>
        <w:gridCol w:w="3009"/>
      </w:tblGrid>
      <w:tr>
        <w:tc>
          <w:tcPr>
            <w:tcW w:type="dxa" w:w="3009"/>
          </w:tcPr>
          <w:p>
            <w:r>
              <w:rPr>
                <w:sz w:val="18"/>
              </w:rPr>
              <w:t>Dashboard</w:t>
            </w:r>
          </w:p>
        </w:tc>
        <w:tc>
          <w:tcPr>
            <w:tcW w:type="dxa" w:w="3009"/>
          </w:tcPr>
          <w:p>
            <w:r>
              <w:rPr>
                <w:sz w:val="18"/>
              </w:rPr>
              <w:t>Worksheets</w:t>
            </w:r>
          </w:p>
        </w:tc>
        <w:tc>
          <w:tcPr>
            <w:tcW w:type="dxa" w:w="3009"/>
          </w:tcPr>
          <w:p>
            <w:r>
              <w:rPr>
                <w:sz w:val="18"/>
              </w:rPr>
              <w:t>Purpose</w:t>
            </w:r>
          </w:p>
        </w:tc>
      </w:tr>
      <w:tr>
        <w:tc>
          <w:tcPr>
            <w:tcW w:type="dxa" w:w="3009"/>
          </w:tcPr>
          <w:p>
            <w:r>
              <w:rPr>
                <w:sz w:val="18"/>
              </w:rPr>
              <w:t>Dashboard 1 — Global Olympic Performance</w:t>
            </w:r>
          </w:p>
        </w:tc>
        <w:tc>
          <w:tcPr>
            <w:tcW w:type="dxa" w:w="3009"/>
          </w:tcPr>
          <w:p>
            <w:r>
              <w:rPr>
                <w:sz w:val="18"/>
              </w:rPr>
              <w:t>Sheets 1, 2, 3, 6</w:t>
            </w:r>
          </w:p>
        </w:tc>
        <w:tc>
          <w:tcPr>
            <w:tcW w:type="dxa" w:w="3009"/>
          </w:tcPr>
          <w:p>
            <w:r>
              <w:rPr>
                <w:sz w:val="18"/>
              </w:rPr>
              <w:t>Country medal rankings, medal-type composition, Summer/Winter comparison, and sport-category average medal counts.</w:t>
            </w:r>
          </w:p>
        </w:tc>
      </w:tr>
      <w:tr>
        <w:tc>
          <w:tcPr>
            <w:tcW w:type="dxa" w:w="3009"/>
          </w:tcPr>
          <w:p>
            <w:r>
              <w:rPr>
                <w:sz w:val="18"/>
              </w:rPr>
              <w:t>Dashboard 2 — Investment and Regional Efficiency</w:t>
            </w:r>
          </w:p>
        </w:tc>
        <w:tc>
          <w:tcPr>
            <w:tcW w:type="dxa" w:w="3009"/>
          </w:tcPr>
          <w:p>
            <w:r>
              <w:rPr>
                <w:sz w:val="18"/>
              </w:rPr>
              <w:t>Sheets 7, 8</w:t>
            </w:r>
          </w:p>
        </w:tc>
        <w:tc>
          <w:tcPr>
            <w:tcW w:type="dxa" w:w="3009"/>
          </w:tcPr>
          <w:p>
            <w:r>
              <w:rPr>
                <w:sz w:val="18"/>
              </w:rPr>
              <w:t>Regional average recorded efficiency and medal outcomes by investment tier; no monetary ROI claim.</w:t>
            </w:r>
          </w:p>
        </w:tc>
      </w:tr>
      <w:tr>
        <w:tc>
          <w:tcPr>
            <w:tcW w:type="dxa" w:w="3009"/>
          </w:tcPr>
          <w:p>
            <w:r>
              <w:rPr>
                <w:sz w:val="18"/>
              </w:rPr>
              <w:t>Dashboard 3 — Olympic Trends and Host Nations</w:t>
            </w:r>
          </w:p>
        </w:tc>
        <w:tc>
          <w:tcPr>
            <w:tcW w:type="dxa" w:w="3009"/>
          </w:tcPr>
          <w:p>
            <w:r>
              <w:rPr>
                <w:sz w:val="18"/>
              </w:rPr>
              <w:t>Sheets 4, 5, 9</w:t>
            </w:r>
          </w:p>
        </w:tc>
        <w:tc>
          <w:tcPr>
            <w:tcW w:type="dxa" w:w="3009"/>
          </w:tcPr>
          <w:p>
            <w:r>
              <w:rPr>
                <w:sz w:val="18"/>
              </w:rPr>
              <w:t>Recorded medal trends, athlete participation, and host-nation performance.</w:t>
            </w:r>
          </w:p>
        </w:tc>
      </w:tr>
    </w:tbl>
    <w:p>
      <w:pPr>
        <w:spacing w:after="120"/>
        <w:jc w:val="center"/>
      </w:pPr>
      <w:r>
        <w:rPr>
          <w:i/>
          <w:sz w:val="18"/>
        </w:rPr>
        <w:t>Dashboard 1 — Global Olympic Performance (Sheets 1, 2, 3, 6)</w:t>
      </w:r>
    </w:p>
    <w:p>
      <w:pPr>
        <w:spacing w:after="120"/>
        <w:jc w:val="center"/>
      </w:pPr>
      <w:r>
        <w:drawing>
          <wp:inline>
            <wp:extent cx="5669280" cy="2834640"/>
            <wp:docPr id="7" name="Picture 7"/>
            <wp:cNvGraphicFramePr>
              <a:graphicFrameLocks noChangeAspect="1"/>
            </wp:cNvGraphicFramePr>
            <a:graphic>
              <a:graphicData uri="http://schemas.openxmlformats.org/drawingml/2006/picture">
                <pic:pic>
                  <pic:nvPicPr>
                    <pic:cNvPr id="0" name="96c6bfb6-image.png"/>
                    <pic:cNvPicPr/>
                  </pic:nvPicPr>
                  <pic:blipFill>
                    <a:blip r:embed="rId12"/>
                    <a:stretch>
                      <a:fillRect/>
                    </a:stretch>
                  </pic:blipFill>
                  <pic:spPr>
                    <a:xfrm>
                      <a:off x="0" y="0"/>
                      <a:ext cx="5669280" cy="2834640"/>
                    </a:xfrm>
                    <a:prstGeom prst="rect"/>
                  </pic:spPr>
                </pic:pic>
              </a:graphicData>
            </a:graphic>
          </wp:inline>
        </w:drawing>
      </w:r>
    </w:p>
    <w:p>
      <w:pPr>
        <w:spacing w:after="120"/>
        <w:jc w:val="center"/>
      </w:pPr>
      <w:r>
        <w:rPr>
          <w:i/>
          <w:sz w:val="18"/>
        </w:rPr>
        <w:t>Dashboard 2 — Investment and Regional Efficiency (Sheets 7, 8)</w:t>
      </w:r>
    </w:p>
    <w:p>
      <w:pPr>
        <w:spacing w:after="120"/>
        <w:jc w:val="center"/>
      </w:pPr>
      <w:r>
        <w:drawing>
          <wp:inline>
            <wp:extent cx="5669280" cy="2816868"/>
            <wp:docPr id="8" name="Picture 8"/>
            <wp:cNvGraphicFramePr>
              <a:graphicFrameLocks noChangeAspect="1"/>
            </wp:cNvGraphicFramePr>
            <a:graphic>
              <a:graphicData uri="http://schemas.openxmlformats.org/drawingml/2006/picture">
                <pic:pic>
                  <pic:nvPicPr>
                    <pic:cNvPr id="0" name="77c7e393-image.png"/>
                    <pic:cNvPicPr/>
                  </pic:nvPicPr>
                  <pic:blipFill>
                    <a:blip r:embed="rId13"/>
                    <a:stretch>
                      <a:fillRect/>
                    </a:stretch>
                  </pic:blipFill>
                  <pic:spPr>
                    <a:xfrm>
                      <a:off x="0" y="0"/>
                      <a:ext cx="5669280" cy="2816868"/>
                    </a:xfrm>
                    <a:prstGeom prst="rect"/>
                  </pic:spPr>
                </pic:pic>
              </a:graphicData>
            </a:graphic>
          </wp:inline>
        </w:drawing>
      </w:r>
    </w:p>
    <w:p>
      <w:pPr>
        <w:spacing w:after="120"/>
        <w:jc w:val="center"/>
      </w:pPr>
      <w:r>
        <w:rPr>
          <w:i/>
          <w:sz w:val="18"/>
        </w:rPr>
        <w:t>Dashboard 3 — Olympic Trends and Host Nations (Tableau screenshot)</w:t>
      </w:r>
    </w:p>
    <w:p>
      <w:pPr>
        <w:spacing w:after="120"/>
        <w:jc w:val="center"/>
      </w:pPr>
      <w:r>
        <w:drawing>
          <wp:inline>
            <wp:extent cx="5669280" cy="2837618"/>
            <wp:docPr id="9" name="Picture 9"/>
            <wp:cNvGraphicFramePr>
              <a:graphicFrameLocks noChangeAspect="1"/>
            </wp:cNvGraphicFramePr>
            <a:graphic>
              <a:graphicData uri="http://schemas.openxmlformats.org/drawingml/2006/picture">
                <pic:pic>
                  <pic:nvPicPr>
                    <pic:cNvPr id="0" name="b03e9e4e-image.png"/>
                    <pic:cNvPicPr/>
                  </pic:nvPicPr>
                  <pic:blipFill>
                    <a:blip r:embed="rId14"/>
                    <a:stretch>
                      <a:fillRect/>
                    </a:stretch>
                  </pic:blipFill>
                  <pic:spPr>
                    <a:xfrm>
                      <a:off x="0" y="0"/>
                      <a:ext cx="5669280" cy="2837618"/>
                    </a:xfrm>
                    <a:prstGeom prst="rect"/>
                  </pic:spPr>
                </pic:pic>
              </a:graphicData>
            </a:graphic>
          </wp:inline>
        </w:drawing>
      </w:r>
    </w:p>
    <w:p>
      <w:r>
        <w:rPr>
          <w:b/>
          <w:sz w:val="22"/>
        </w:rPr>
        <w:t>Major Outcomes to Report After Validation</w:t>
      </w:r>
    </w:p>
    <w:p>
      <w:pPr>
        <w:spacing w:after="120"/>
      </w:pPr>
      <w:r>
        <w:t>• Country leaders: the United States leads with 735 total medals, followed by China (696), Russia (429), Great Britain (401), Germany (336), Japan (308), Australia (280), France (260) and Italy (198).</w:t>
      </w:r>
    </w:p>
    <w:p>
      <w:pPr>
        <w:spacing w:after="120"/>
      </w:pPr>
      <w:r>
        <w:rPr>
          <w:b w:val="0"/>
        </w:rPr>
        <w:t>• Medal composition and seasons: the stacked gold/silver/bronze bars and the Summer vs Winter bars show how each country's total splits by medal type and by season (for example, Australia's 280 medals are roughly half Summer and half Winter).</w:t>
      </w:r>
    </w:p>
    <w:p>
      <w:pPr>
        <w:spacing w:after="120"/>
      </w:pPr>
      <w:r>
        <w:rPr>
          <w:b w:val="0"/>
        </w:rPr>
        <w:t>• Sport categories: Biathlon (1.6902), Shooting (1.6563) and Cycling (1.6180) have the highest average medals per athlete record, while Sliding (1.3098) and Gymnastics (1.3352) are the lowest; the measure used is AVG(total_medals).</w:t>
      </w:r>
    </w:p>
    <w:p>
      <w:pPr>
        <w:spacing w:after="120"/>
      </w:pPr>
      <w:r>
        <w:rPr>
          <w:b w:val="0"/>
        </w:rPr>
        <w:t>• Regional efficiency: South America has the highest average recorded medal-efficiency value (49.64), followed by Europe/Asia (45.98) and Africa (42.80); North America (27.46), Europe (27.48) and Oceania (27.79) are the lowest. This is the dataset's recorded metric, not monetary ROI.</w:t>
      </w:r>
    </w:p>
    <w:p>
      <w:pPr>
        <w:spacing w:after="120"/>
      </w:pPr>
      <w:r>
        <w:rPr>
          <w:b w:val="0"/>
        </w:rPr>
        <w:t>• Investment tiers: the High investment tier shows the largest combined average medal totals across regions, Medium is much smaller and Low is the smallest; investment is categorical (High/Medium/Low), so no monetary ROI is claimed.</w:t>
      </w:r>
    </w:p>
    <w:p>
      <w:pPr>
        <w:spacing w:after="120"/>
      </w:pPr>
      <w:r>
        <w:rPr>
          <w:b w:val="0"/>
        </w:rPr>
        <w:t>• Trends: recorded medals awarded move between about 305 (Summer 2000) and 363 (Summer 2020) per Games, and Summer athlete participation (about 9K–12K) is far higher than Winter (about 2K–3K), which has grown steadily since 1994.</w:t>
      </w:r>
    </w:p>
    <w:p>
      <w:r>
        <w:rPr>
          <w:b/>
          <w:sz w:val="22"/>
        </w:rPr>
        <w:t>Dashboard Public Link</w:t>
      </w:r>
    </w:p>
    <w:p>
      <w:pPr>
        <w:spacing w:after="120"/>
      </w:pPr>
      <w:r>
        <w:t>Pending — paste the exact Tableau Public URL after publishing. Do not use a sample link.</w:t>
      </w:r>
    </w:p>
    <w:sectPr>
      <w:headerReference w:type="default" r:id="rId10"/>
      <w:footerReference w:type="default" r:id="rId11"/>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