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rPr>
          <w:b/>
          <w:sz w:val="22"/>
        </w:rPr>
        <w:t>Project Context</w:t>
      </w:r>
    </w:p>
    <w:p>
      <w:pPr>
        <w:spacing w:after="120"/>
      </w:pPr>
      <w:r>
        <w:t>Global Olympic Sports Performance Analysis. Team ID: Individual. Documentation date: 27 October 2026.</w:t>
      </w:r>
    </w:p>
    <w:p>
      <w:r>
        <w:rPr>
          <w:b/>
          <w:sz w:val="22"/>
        </w:rPr>
        <w:t>Implementation Status</w:t>
      </w:r>
    </w:p>
    <w:p>
      <w:pPr>
        <w:spacing w:after="120"/>
      </w:pPr>
      <w:r>
        <w:t>The nine-sheet, three-dashboard structure is the agreed project plan. Actual performance measurements, screenshots, final observations, and public links should be added only after the Tableau workbook is completed and tested.</w:t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