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rPr>
                <w:sz w:val="18"/>
              </w:rPr>
              <w:t>PS-1</w:t>
            </w:r>
          </w:p>
        </w:tc>
        <w:tc>
          <w:tcPr/>
          <w:p>
            <w:r>
              <w:rPr>
                <w:sz w:val="18"/>
              </w:rPr>
              <w:t>National Olympic Committee strategist</w:t>
            </w:r>
          </w:p>
        </w:tc>
        <w:tc>
          <w:tcPr/>
          <w:p>
            <w:r>
              <w:rPr>
                <w:sz w:val="18"/>
              </w:rPr>
              <w:t>identify strong sport categories and compare country medal performance</w:t>
            </w:r>
          </w:p>
        </w:tc>
        <w:tc>
          <w:tcPr/>
          <w:p>
            <w:r>
              <w:rPr>
                <w:sz w:val="18"/>
              </w:rPr>
              <w:t>the data is spread across multiple CSVs and measures</w:t>
            </w:r>
          </w:p>
        </w:tc>
        <w:tc>
          <w:tcPr/>
          <w:p>
            <w:r>
              <w:rPr>
                <w:sz w:val="18"/>
              </w:rPr>
              <w:t>manual comparisons are slow and aggregation choices can mislead</w:t>
            </w:r>
          </w:p>
        </w:tc>
        <w:tc>
          <w:tcPr/>
          <w:p>
            <w:r>
              <w:rPr>
                <w:sz w:val="18"/>
              </w:rPr>
              <w:t>uncertain about where to focus future analysis</w:t>
            </w:r>
          </w:p>
        </w:tc>
      </w:tr>
      <w:tr>
        <w:trPr>
          <w:cantSplit w:val="0"/>
          <w:tblHeader w:val="0"/>
        </w:trPr>
        <w:tc>
          <w:tcPr/>
          <w:p>
            <w:r>
              <w:rPr>
                <w:sz w:val="18"/>
              </w:rPr>
              <w:t>PS-2</w:t>
            </w:r>
          </w:p>
        </w:tc>
        <w:tc>
          <w:tcPr/>
          <w:p>
            <w:r>
              <w:rPr>
                <w:sz w:val="18"/>
              </w:rPr>
              <w:t>Sports funding analyst / Olympic journalist</w:t>
            </w:r>
          </w:p>
        </w:tc>
        <w:tc>
          <w:tcPr/>
          <w:p>
            <w:r>
              <w:rPr>
                <w:sz w:val="18"/>
              </w:rPr>
              <w:t>compare regional patterns, investment tiers, medal trends and host performance</w:t>
            </w:r>
          </w:p>
        </w:tc>
        <w:tc>
          <w:tcPr/>
          <w:p>
            <w:r>
              <w:rPr>
                <w:sz w:val="18"/>
              </w:rPr>
              <w:t>the dataset has summary metrics but no monetary investment amounts and requires validation</w:t>
            </w:r>
          </w:p>
        </w:tc>
        <w:tc>
          <w:tcPr/>
          <w:p>
            <w:r>
              <w:rPr>
                <w:sz w:val="18"/>
              </w:rPr>
              <w:t>ROI claims or historical narratives could be overstated</w:t>
            </w:r>
          </w:p>
        </w:tc>
        <w:tc>
          <w:tcPr/>
          <w:p>
            <w:r>
              <w:rPr>
                <w:sz w:val="18"/>
              </w:rPr>
              <w:t>needs transparent, carefully qualified evidence</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footerReference w:type="default" r:id="rId11"/>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