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Empathize &amp; Discover</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
              <w:rPr>
                <w:sz w:val="18"/>
              </w:rPr>
              <w:t>27 October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
              <w:rPr>
                <w:sz w:val="18"/>
              </w:rPr>
              <w:t>Individual</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
              <w:rPr>
                <w:sz w:val="18"/>
              </w:rPr>
              <w:t>Global Olympic Sports Performance Analysis</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sz w:val="24"/>
          <w:szCs w:val="24"/>
        </w:rPr>
      </w:pPr>
      <w:r w:rsidDel="00000000" w:rsidR="00000000" w:rsidRPr="00000000">
        <w:rPr>
          <w:b w:val="1"/>
          <w:bCs w:val="1"/>
          <w:color w:val="2a2a2a"/>
          <w:sz w:val="24"/>
          <w:szCs w:val="24"/>
          <w:rtl w:val="0"/>
        </w:rPr>
        <w:t xml:space="preserve">Example:</w:t>
      </w:r>
      <w:r w:rsidDel="00000000" w:rsidR="00000000" w:rsidRPr="00000000">
        <w:rPr>
          <w:rtl w:val="0"/>
        </w:rPr>
      </w:r>
    </w:p>
    <w:p w:rsidR="00000000" w:rsidDel="00000000" w:rsidP="00000000" w:rsidRDefault="00000000" w:rsidRPr="00000000" w14:paraId="00000013">
      <w:pPr>
        <w:rPr/>
      </w:pPr>
      <w:r w:rsidDel="00000000" w:rsidR="00000000" w:rsidRPr="00000000">
        <w:rPr>
          <w:sz w:val="24"/>
          <w:szCs w:val="24"/>
          <w:rtl w:val="0"/>
        </w:rPr>
        <w:t xml:space="preserve">Reference: </w:t>
      </w:r>
      <w:hyperlink r:id="rId7">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4">
      <w:pPr>
        <w:jc w:val="both"/>
        <w:rPr>
          <w:b w:val="1"/>
          <w:bCs w:val="1"/>
          <w:color w:val="2a2a2a"/>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drawing>
          <wp:inline distB="114300" distT="114300" distL="114300" distR="114300">
            <wp:extent cx="5734050" cy="4474210"/>
            <wp:effectExtent b="0" l="0" r="0" t="0"/>
            <wp:docPr id="12" name="image3.png"/>
            <a:graphic>
              <a:graphicData uri="http://schemas.openxmlformats.org/drawingml/2006/picture">
                <pic:pic>
                  <pic:nvPicPr>
                    <pic:cNvPr id="0" name="image3.png"/>
                    <pic:cNvPicPr preferRelativeResize="0"/>
                  </pic:nvPicPr>
                  <pic:blipFill>
                    <a:blip r:embed="rId8"/>
                    <a:srcRect b="0" l="0" r="0" t="39700"/>
                    <a:stretch>
                      <a:fillRect/>
                    </a:stretch>
                  </pic:blipFill>
                  <pic:spPr>
                    <a:xfrm>
                      <a:off x="0" y="0"/>
                      <a:ext cx="5734050" cy="4474210"/>
                    </a:xfrm>
                    <a:prstGeom prst="rect"/>
                    <a:ln/>
                  </pic:spPr>
                </pic:pic>
              </a:graphicData>
            </a:graphic>
          </wp:inline>
        </w:drawing>
      </w:r>
      <w:r w:rsidDel="00000000" w:rsidR="00000000" w:rsidRPr="00000000">
        <w:rPr>
          <w:rtl w:val="0"/>
        </w:rPr>
      </w:r>
    </w:p>
    <w:p>
      <w:r>
        <w:rPr>
          <w:b/>
          <w:sz w:val="22"/>
        </w:rPr>
        <w:t>Project User Empathy Map</w:t>
      </w:r>
    </w:p>
    <w:p>
      <w:pPr>
        <w:spacing w:after="120"/>
      </w:pPr>
      <w:r>
        <w:t>Target users: National Olympic Committee performance strategists, international sports-funding analysts, and Olympic data journalists.</w:t>
      </w:r>
    </w:p>
    <w:p>
      <w:r>
        <w:rPr>
          <w:b/>
          <w:sz w:val="22"/>
        </w:rPr>
        <w:t>Says</w:t>
      </w:r>
    </w:p>
    <w:p>
      <w:pPr>
        <w:spacing w:after="120"/>
      </w:pPr>
      <w:r>
        <w:t>I need a clear way to compare countries, sports categories, medal types, regions, and Olympic-year trends.</w:t>
      </w:r>
    </w:p>
    <w:p>
      <w:r>
        <w:rPr>
          <w:b/>
          <w:sz w:val="22"/>
        </w:rPr>
        <w:t>Thinks</w:t>
      </w:r>
    </w:p>
    <w:p>
      <w:pPr>
        <w:spacing w:after="120"/>
      </w:pPr>
      <w:r>
        <w:t>The comparisons should use consistent definitions, transparent calculations, and clear data-quality caveats.</w:t>
      </w:r>
    </w:p>
    <w:p>
      <w:r>
        <w:rPr>
          <w:b/>
          <w:sz w:val="22"/>
        </w:rPr>
        <w:t>Does</w:t>
      </w:r>
    </w:p>
    <w:p>
      <w:pPr>
        <w:spacing w:after="120"/>
      </w:pPr>
      <w:r>
        <w:t>Reviews country rankings, filters countries or seasons, compares sport categories, and examines regional and host-nation patterns.</w:t>
      </w:r>
    </w:p>
    <w:p>
      <w:r>
        <w:rPr>
          <w:b/>
          <w:sz w:val="22"/>
        </w:rPr>
        <w:t>Feels</w:t>
      </w:r>
    </w:p>
    <w:p>
      <w:pPr>
        <w:spacing w:after="120"/>
      </w:pPr>
      <w:r>
        <w:t>More confident when the evidence is visible and the limitations are clearly stated.</w:t>
      </w:r>
    </w:p>
    <w:p>
      <w:r>
        <w:rPr>
          <w:b/>
          <w:sz w:val="22"/>
        </w:rPr>
        <w:t>Pains</w:t>
      </w:r>
    </w:p>
    <w:p>
      <w:pPr>
        <w:spacing w:after="120"/>
      </w:pPr>
      <w:r>
        <w:t>Large CSV tables are hard to compare; summary fields may not use identical definitions; investment amount data is not available.</w:t>
      </w:r>
    </w:p>
    <w:p>
      <w:r>
        <w:rPr>
          <w:b/>
          <w:sz w:val="22"/>
        </w:rPr>
        <w:t>Gains</w:t>
      </w:r>
    </w:p>
    <w:p>
      <w:pPr>
        <w:spacing w:after="120"/>
      </w:pPr>
      <w:r>
        <w:t>A coherent Tableau story, quicker comparisons, and evidence-based questions for future sports planning.</w:t>
      </w:r>
    </w:p>
    <w:sectPr>
      <w:headerReference r:id="rId9" w:type="default"/>
      <w:footerReference w:type="default" r:id="rId10"/>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6505575</wp:posOffset>
          </wp:positionH>
          <wp:positionV relativeFrom="page">
            <wp:posOffset>239913</wp:posOffset>
          </wp:positionV>
          <wp:extent cx="864691" cy="395288"/>
          <wp:effectExtent b="0" l="0" r="0" t="0"/>
          <wp:wrapNone/>
          <wp:docPr id="1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142875</wp:posOffset>
          </wp:positionH>
          <wp:positionV relativeFrom="page">
            <wp:posOffset>144663</wp:posOffset>
          </wp:positionV>
          <wp:extent cx="1376363" cy="589870"/>
          <wp:effectExtent b="0" l="0" r="0" t="0"/>
          <wp:wrapNone/>
          <wp:docPr id="10" name="image2.png"/>
          <a:graphic>
            <a:graphicData uri="http://schemas.openxmlformats.org/drawingml/2006/picture">
              <pic:pic>
                <pic:nvPicPr>
                  <pic:cNvPr id="0" name="image2.png"/>
                  <pic:cNvPicPr preferRelativeResize="0"/>
                </pic:nvPicPr>
                <pic:blipFill>
                  <a:blip r:embed="rId2"/>
                  <a:srcRect b="7692" l="0" r="7692" t="0"/>
                  <a:stretch>
                    <a:fillRect/>
                  </a:stretch>
                </pic:blipFill>
                <pic:spPr>
                  <a:xfrm>
                    <a:off x="0" y="0"/>
                    <a:ext cx="1376363" cy="58987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mural.co/templates/empathy-map-canvas" TargetMode="External"/><Relationship Id="rId8" Type="http://schemas.openxmlformats.org/officeDocument/2006/relationships/image" Target="media/image3.png"/><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3fsNOHpf3FV2G7iHBSFfo66Y9w==">CgMxLjA4AHIhMVp3Wnhtemd2NUdMU0tNbFpRV1UyMEdfdDVoQzFQb0Qy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