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6"/>
        </w:rPr>
        <w:t>SAFE STUDENT</w:t>
      </w:r>
    </w:p>
    <w:p>
      <w:pPr>
        <w:jc w:val="center"/>
      </w:pPr>
      <w:r>
        <w:rPr>
          <w:b/>
          <w:sz w:val="30"/>
        </w:rPr>
        <w:t>RELATÓRIO DE AUDITORIA TÉCNICA E DE CONFORMIDADE — V2.0</w:t>
      </w:r>
    </w:p>
    <w:p>
      <w:pPr>
        <w:jc w:val="center"/>
      </w:pPr>
      <w:r>
        <w:t>Revisão sênior de requisitos, UML/DER, código, privacidade, testes e evidências</w:t>
      </w:r>
    </w:p>
    <w:p>
      <w:r>
        <w:br w:type="page"/>
      </w:r>
    </w:p>
    <w:p>
      <w:pPr>
        <w:pStyle w:val="Heading1"/>
      </w:pPr>
      <w:r>
        <w:t>1 OBJETIVO</w:t>
      </w:r>
    </w:p>
    <w:p>
      <w:pPr>
        <w:spacing w:line="360" w:lineRule="auto"/>
        <w:ind w:firstLine="709"/>
        <w:jc w:val="both"/>
      </w:pPr>
      <w:r>
        <w:t>A auditoria V2.0 confronta cada afirmação técnica com o comportamento observável do MVP. A revisão evita tratar metas futuras como funcionalidades implementadas e evita tratar resultados históricos de pesquisa como evidência auditada quando os registros primários não estão disponíveis.</w:t>
      </w:r>
    </w:p>
    <w:p>
      <w:pPr>
        <w:pStyle w:val="Heading1"/>
      </w:pPr>
      <w:r>
        <w:t>2 ACHADOS E CORREÇÕES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7"/>
              </w:rPr>
              <w:t>Severidade</w:t>
            </w:r>
          </w:p>
        </w:tc>
        <w:tc>
          <w:tcPr>
            <w:tcW w:type="dxa" w:w="3135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7"/>
              </w:rPr>
              <w:t>Achado</w:t>
            </w:r>
          </w:p>
        </w:tc>
        <w:tc>
          <w:tcPr>
            <w:tcW w:type="dxa" w:w="3135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7"/>
              </w:rPr>
              <w:t>Correção V2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Crítico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Casos de uso com cruzamentos e linhas que pareciam setas de fluxo.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Diagramas separados por ator; associação sólida simples, sem seta.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Crítico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Classes misturavam conceito, perfil e estrutura relacional.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Modelo conceitual separado do DER; Usuario único com PerfilUsuario e multiplicidades.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Crítico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DER parecia fluxograma.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DER lógico com PK/FK/UQ e cardinalidades, sem setas de processo.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Alto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Referência OWASP MASVS em aplicação web.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OWASP ASVS 5.0.0 usado como referência de segurança web.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Alto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Gestão podia visualizar mensagens/notificações privadas de terceiros.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Escopo restrito aos participantes/destinatários; testes de regressão.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Alto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Diretório devolvia dados pessoais além do necessário.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Projeção mínima: id, nome, perfil e status.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Alto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CSV de validação incluía DEMO_SEED.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Exportação somente de APRESENTACAO.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Médio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Taxa de presença usava corte UTC diferente do dia escolar.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Cálculo unificado pela função dateKey do fuso escolar.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Médio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Token de novo aluno não verificava colisão explicitamente.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Geração com verificação de unicidade.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Médio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Base mutável db.json era versionada.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db.runtime.json é criado da seed e ignorado pelo Git.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Acadêmico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Números históricos de pesquisa apareciam como resultado sem evidência primária localizada.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Status da pesquisa permanece Parcial; nova coleta real é necessária.</w:t>
            </w:r>
          </w:p>
        </w:tc>
      </w:tr>
    </w:tbl>
    <w:p>
      <w:pPr>
        <w:pStyle w:val="Heading1"/>
      </w:pPr>
      <w:r>
        <w:t>3 REQUISITOS E MODELAGEM</w:t>
      </w:r>
    </w:p>
    <w:p>
      <w:pPr>
        <w:spacing w:line="360" w:lineRule="auto"/>
        <w:ind w:firstLine="709"/>
        <w:jc w:val="both"/>
      </w:pPr>
      <w:r>
        <w:t>Os requisitos funcionais foram reescritos como obrigações observáveis com critério de aceite. Os requisitos não funcionais indicam como devem ser comprovados. A modelagem usa associação sem seta em casos de uso e classes; o DER apresenta relacionamentos com chaves e cardinalidades; o diagrama de sequência usa setas porque elas representam mensagens; o diagrama de componentes mostra somente a arquitetura efetivamente implementada.</w:t>
      </w:r>
    </w:p>
    <w:p>
      <w:pPr>
        <w:pStyle w:val="Heading1"/>
      </w:pPr>
      <w:r>
        <w:t>4 AUDITORIA DO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Área</w:t>
            </w:r>
          </w:p>
        </w:tc>
        <w:tc>
          <w:tcPr>
            <w:tcW w:type="dxa" w:w="4702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Conclusão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server.js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Autenticação, autorização, minimização, presença, mensagens, notificações, relatórios, feedback e reset revisados.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lib/domain.js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RBAC, escopo de alunos, sequência de presença e taxa por dia escolar revisados.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lib/security.js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scrypt + timingSafeEqual adequados ao MVP; não são apresentados como arquitetura de alta carga.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public/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Interface usa API autenticada e escape de conteúdo; controles visuais não substituem autorização server-side.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data/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Seed sintética versionada; runtime mutável não deve ser commitado.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tests/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Domínio, segurança, API e regressões de privacidade.</w:t>
            </w:r>
          </w:p>
        </w:tc>
      </w:tr>
    </w:tbl>
    <w:p>
      <w:pPr>
        <w:pStyle w:val="Heading1"/>
      </w:pPr>
      <w:r>
        <w:t>5 TESTES</w:t>
      </w:r>
    </w:p>
    <w:p>
      <w:pPr>
        <w:spacing w:line="360" w:lineRule="auto"/>
        <w:ind w:firstLine="709"/>
        <w:jc w:val="both"/>
      </w:pPr>
      <w:r>
        <w:t>Na revisão sênior, a suíte V2 foi executada localmente em Node.js 22 com 49 testes aprovados e 0 falhas. O workflow de CI permanece configurado para Node.js 18, 20 e 22 e deve ser conferido separadamente antes da entrega final; o resultado local não deve ser descrito como se fosse um status do GitHub Actions.</w:t>
      </w:r>
    </w:p>
    <w:p>
      <w:pPr>
        <w:pStyle w:val="Heading1"/>
      </w:pPr>
      <w:r>
        <w:t>6 EVIDÊNCIA EXTENSIONISTA</w:t>
      </w:r>
    </w:p>
    <w:p>
      <w:pPr>
        <w:spacing w:line="360" w:lineRule="auto"/>
        <w:ind w:firstLine="709"/>
        <w:jc w:val="both"/>
      </w:pPr>
      <w:r>
        <w:t>A pesquisa de campo continua Parcial até existir evidência primária real: formulários/termos preenchidos, respostas anonimizadas ou CSV de coleta que permita reproduzir os resultados. Não se deve inventar participantes, respostas, percentuais ou médias. Registros DEMO_SEED são ilustrativos e não constituem pesquisa.</w:t>
      </w:r>
    </w:p>
    <w:p>
      <w:pPr>
        <w:pStyle w:val="Heading1"/>
      </w:pPr>
      <w:r>
        <w:t>7 SITUAÇÃO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Dimensão</w:t>
            </w:r>
          </w:p>
        </w:tc>
        <w:tc>
          <w:tcPr>
            <w:tcW w:type="dxa" w:w="4702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Status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Código/MVP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t>Revisado; suíte local 49/49.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Requisitos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Reescritos e rastreáveis.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UML/DER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Refazidos com notação formal e responsabilidades separadas.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Documentação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Sincronizada com a revisão V2 nos artefatos finais.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Pesquisa de campo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Parcial até evidência primária real.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Produção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Fora do escopo: MVP acadêmico local, não homologado.</w:t>
            </w:r>
          </w:p>
        </w:tc>
      </w:tr>
    </w:tbl>
    <w:p>
      <w:pPr>
        <w:pStyle w:val="Heading1"/>
      </w:pPr>
      <w:r>
        <w:t>REFERÊNCIAS</w:t>
      </w:r>
    </w:p>
    <w:p>
      <w:r>
        <w:t>OBJECT MANAGEMENT GROUP. Unified Modeling Language (UML), Version 2.5.1.</w:t>
      </w:r>
    </w:p>
    <w:p>
      <w:r>
        <w:t>OWASP FOUNDATION. Application Security Verification Standard (ASVS) 5.0.0.</w:t>
      </w:r>
    </w:p>
    <w:p>
      <w:r>
        <w:t>WORLD WIDE WEB CONSORTIUM. Web Content Accessibility Guidelines (WCAG) 2.2.</w:t>
      </w:r>
    </w:p>
    <w:p>
      <w:r>
        <w:t>BRASIL. Lei nº 13.709/2018 — Lei Geral de Proteção de Dados Pessoais.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06_Relatorio_Auditoria_Conformidade_Safe_Student</dc:title>
  <dc:subject/>
  <dc:creator>python-docx</dc:creator>
  <cp:keywords/>
  <dc:description>Revisão final Safe Student: MVP 2.1.0, documentação V2.0; pesquisa de campo parcial.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