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2BAB8" w14:textId="1060C767" w:rsidR="00B71F72" w:rsidRDefault="00B71F72" w:rsidP="00B71F72">
      <w:pPr>
        <w:rPr>
          <w:b/>
          <w:bCs/>
        </w:rPr>
      </w:pPr>
      <w:r w:rsidRPr="00B306C5">
        <w:rPr>
          <w:noProof/>
        </w:rPr>
        <w:drawing>
          <wp:inline distT="0" distB="0" distL="0" distR="0" wp14:anchorId="777213AE" wp14:editId="7540D192">
            <wp:extent cx="5731510" cy="1212215"/>
            <wp:effectExtent l="0" t="0" r="2540" b="6985"/>
            <wp:docPr id="1460764492" name="Picture 1" descr="A close-up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64492" name="Picture 1" descr="A close-up of a building&#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212215"/>
                    </a:xfrm>
                    <a:prstGeom prst="rect">
                      <a:avLst/>
                    </a:prstGeom>
                    <a:noFill/>
                    <a:ln>
                      <a:noFill/>
                    </a:ln>
                  </pic:spPr>
                </pic:pic>
              </a:graphicData>
            </a:graphic>
          </wp:inline>
        </w:drawing>
      </w:r>
    </w:p>
    <w:p w14:paraId="33EEE887" w14:textId="77777777" w:rsidR="00B71F72" w:rsidRDefault="00B71F72" w:rsidP="00B71F72">
      <w:pPr>
        <w:rPr>
          <w:b/>
          <w:bCs/>
        </w:rPr>
      </w:pPr>
    </w:p>
    <w:p w14:paraId="174C017E" w14:textId="61E1F132" w:rsidR="00B71F72" w:rsidRPr="00B71F72" w:rsidRDefault="00B71F72" w:rsidP="00B71F72">
      <w:r w:rsidRPr="00B71F72">
        <w:rPr>
          <w:b/>
          <w:bCs/>
        </w:rPr>
        <w:t>Hybrid Observability and Capacity Strategy - Deutsche Bank</w:t>
      </w:r>
    </w:p>
    <w:p w14:paraId="12FAEAB5" w14:textId="77777777" w:rsidR="00B71F72" w:rsidRDefault="00B71F72" w:rsidP="00B71F72">
      <w:r w:rsidRPr="00B71F72">
        <w:rPr>
          <w:b/>
          <w:bCs/>
        </w:rPr>
        <w:t>Date:</w:t>
      </w:r>
      <w:r w:rsidRPr="00B71F72">
        <w:t> October 2025 </w:t>
      </w:r>
    </w:p>
    <w:p w14:paraId="1D21AFED" w14:textId="77777777" w:rsidR="00B71F72" w:rsidRDefault="00B71F72" w:rsidP="00B71F72">
      <w:r w:rsidRPr="00B71F72">
        <w:rPr>
          <w:b/>
          <w:bCs/>
        </w:rPr>
        <w:t>Author:</w:t>
      </w:r>
      <w:r w:rsidRPr="00B71F72">
        <w:t> John Owens </w:t>
      </w:r>
    </w:p>
    <w:p w14:paraId="59E1F698" w14:textId="3066EA1F" w:rsidR="00B71F72" w:rsidRPr="00B71F72" w:rsidRDefault="00B71F72" w:rsidP="00B71F72">
      <w:r w:rsidRPr="00B71F72">
        <w:rPr>
          <w:b/>
          <w:bCs/>
        </w:rPr>
        <w:t>Document Version:</w:t>
      </w:r>
      <w:r w:rsidRPr="00B71F72">
        <w:t xml:space="preserve"> 1.0 </w:t>
      </w:r>
    </w:p>
    <w:p w14:paraId="4CBE0B6C" w14:textId="77777777" w:rsidR="00B71F72" w:rsidRPr="00B71F72" w:rsidRDefault="00000000" w:rsidP="00B71F72">
      <w:r>
        <w:pict w14:anchorId="055435B4">
          <v:rect id="_x0000_i1025" style="width:0;height:1.5pt" o:hrstd="t" o:hr="t" fillcolor="#a0a0a0" stroked="f"/>
        </w:pict>
      </w:r>
    </w:p>
    <w:p w14:paraId="74821D76" w14:textId="77777777" w:rsidR="00190E80" w:rsidRDefault="00190E80">
      <w:pPr>
        <w:rPr>
          <w:b/>
          <w:bCs/>
        </w:rPr>
      </w:pPr>
      <w:r>
        <w:rPr>
          <w:b/>
          <w:bCs/>
        </w:rPr>
        <w:br w:type="page"/>
      </w:r>
    </w:p>
    <w:p w14:paraId="233ADF29" w14:textId="77777777" w:rsidR="00190E80" w:rsidRPr="005C3E7E" w:rsidRDefault="00190E80" w:rsidP="00190E80">
      <w:pPr>
        <w:rPr>
          <w:b/>
          <w:bCs/>
          <w:color w:val="156082" w:themeColor="accent1"/>
          <w:sz w:val="18"/>
          <w:szCs w:val="18"/>
        </w:rPr>
      </w:pPr>
      <w:r w:rsidRPr="005C3E7E">
        <w:rPr>
          <w:b/>
          <w:bCs/>
          <w:color w:val="156082" w:themeColor="accent1"/>
          <w:sz w:val="18"/>
          <w:szCs w:val="18"/>
        </w:rPr>
        <w:lastRenderedPageBreak/>
        <w:t>Document Version History</w:t>
      </w:r>
    </w:p>
    <w:tbl>
      <w:tblPr>
        <w:tblStyle w:val="KeyDataTable"/>
        <w:tblW w:w="9639" w:type="dxa"/>
        <w:tblLayout w:type="fixed"/>
        <w:tblLook w:val="04A0" w:firstRow="1" w:lastRow="0" w:firstColumn="1" w:lastColumn="0" w:noHBand="0" w:noVBand="1"/>
      </w:tblPr>
      <w:tblGrid>
        <w:gridCol w:w="1609"/>
        <w:gridCol w:w="1709"/>
        <w:gridCol w:w="1842"/>
        <w:gridCol w:w="4479"/>
      </w:tblGrid>
      <w:tr w:rsidR="00190E80" w:rsidRPr="005C3E7E" w14:paraId="6C8CE5CC" w14:textId="77777777" w:rsidTr="00F16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vAlign w:val="top"/>
          </w:tcPr>
          <w:p w14:paraId="248FE437" w14:textId="77777777" w:rsidR="00190E80" w:rsidRPr="005C3E7E" w:rsidRDefault="00190E80" w:rsidP="00F16DF3">
            <w:pPr>
              <w:rPr>
                <w:rFonts w:asciiTheme="minorHAnsi" w:hAnsiTheme="minorHAnsi"/>
                <w:szCs w:val="18"/>
              </w:rPr>
            </w:pPr>
            <w:r w:rsidRPr="005C3E7E">
              <w:rPr>
                <w:rFonts w:asciiTheme="minorHAnsi" w:hAnsiTheme="minorHAnsi"/>
                <w:szCs w:val="18"/>
              </w:rPr>
              <w:t>Author</w:t>
            </w:r>
          </w:p>
        </w:tc>
        <w:tc>
          <w:tcPr>
            <w:tcW w:w="1709" w:type="dxa"/>
          </w:tcPr>
          <w:p w14:paraId="3F32CDEC" w14:textId="77777777" w:rsidR="00190E80" w:rsidRPr="005C3E7E" w:rsidRDefault="00190E80" w:rsidP="00F16DF3">
            <w:pPr>
              <w:cnfStyle w:val="100000000000" w:firstRow="1"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color w:val="156082" w:themeColor="accent1"/>
                <w:szCs w:val="18"/>
              </w:rPr>
              <w:t>Version No</w:t>
            </w:r>
          </w:p>
        </w:tc>
        <w:tc>
          <w:tcPr>
            <w:tcW w:w="1842" w:type="dxa"/>
            <w:vAlign w:val="top"/>
          </w:tcPr>
          <w:p w14:paraId="1B12BC91" w14:textId="77777777" w:rsidR="00190E80" w:rsidRPr="005C3E7E" w:rsidRDefault="00190E80" w:rsidP="00F16DF3">
            <w:pPr>
              <w:cnfStyle w:val="100000000000" w:firstRow="1"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color w:val="156082" w:themeColor="accent1"/>
                <w:szCs w:val="18"/>
              </w:rPr>
              <w:t>Version Date</w:t>
            </w:r>
          </w:p>
        </w:tc>
        <w:tc>
          <w:tcPr>
            <w:tcW w:w="4479" w:type="dxa"/>
          </w:tcPr>
          <w:p w14:paraId="38D8B462" w14:textId="77777777" w:rsidR="00190E80" w:rsidRPr="005C3E7E" w:rsidRDefault="00190E80" w:rsidP="00F16DF3">
            <w:pPr>
              <w:cnfStyle w:val="100000000000" w:firstRow="1"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color w:val="156082" w:themeColor="accent1"/>
                <w:szCs w:val="18"/>
              </w:rPr>
              <w:t>Description</w:t>
            </w:r>
          </w:p>
        </w:tc>
      </w:tr>
      <w:tr w:rsidR="00190E80" w:rsidRPr="005C3E7E" w14:paraId="0388840E" w14:textId="77777777" w:rsidTr="00F16DF3">
        <w:tc>
          <w:tcPr>
            <w:cnfStyle w:val="001000000000" w:firstRow="0" w:lastRow="0" w:firstColumn="1" w:lastColumn="0" w:oddVBand="0" w:evenVBand="0" w:oddHBand="0" w:evenHBand="0" w:firstRowFirstColumn="0" w:firstRowLastColumn="0" w:lastRowFirstColumn="0" w:lastRowLastColumn="0"/>
            <w:tcW w:w="1609" w:type="dxa"/>
            <w:vAlign w:val="top"/>
          </w:tcPr>
          <w:p w14:paraId="7458A6E9" w14:textId="19F9695E" w:rsidR="00190E80" w:rsidRPr="005C3E7E" w:rsidRDefault="00190E80" w:rsidP="00F16DF3">
            <w:pPr>
              <w:rPr>
                <w:rFonts w:asciiTheme="minorHAnsi" w:hAnsiTheme="minorHAnsi"/>
                <w:szCs w:val="18"/>
              </w:rPr>
            </w:pPr>
            <w:r w:rsidRPr="005C3E7E">
              <w:rPr>
                <w:rFonts w:asciiTheme="minorHAnsi" w:hAnsiTheme="minorHAnsi"/>
                <w:color w:val="auto"/>
                <w:szCs w:val="18"/>
              </w:rPr>
              <w:t>John Owens</w:t>
            </w:r>
          </w:p>
        </w:tc>
        <w:tc>
          <w:tcPr>
            <w:tcW w:w="1709" w:type="dxa"/>
          </w:tcPr>
          <w:p w14:paraId="080836C1"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0.1</w:t>
            </w:r>
          </w:p>
        </w:tc>
        <w:tc>
          <w:tcPr>
            <w:tcW w:w="1842" w:type="dxa"/>
            <w:vAlign w:val="top"/>
          </w:tcPr>
          <w:p w14:paraId="3E293233" w14:textId="47DA31C0" w:rsidR="00190E80" w:rsidRPr="005C3E7E" w:rsidRDefault="005C3E7E"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8 Dec 2025</w:t>
            </w:r>
          </w:p>
        </w:tc>
        <w:tc>
          <w:tcPr>
            <w:tcW w:w="4479" w:type="dxa"/>
          </w:tcPr>
          <w:p w14:paraId="4D77AF2F"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Template &amp; Draft</w:t>
            </w:r>
          </w:p>
        </w:tc>
      </w:tr>
    </w:tbl>
    <w:p w14:paraId="0D48771F" w14:textId="77777777" w:rsidR="00190E80" w:rsidRPr="005C3E7E" w:rsidRDefault="00190E80" w:rsidP="00190E80">
      <w:pPr>
        <w:rPr>
          <w:sz w:val="18"/>
          <w:szCs w:val="18"/>
        </w:rPr>
      </w:pPr>
    </w:p>
    <w:p w14:paraId="300EA725" w14:textId="77777777" w:rsidR="00190E80" w:rsidRPr="005C3E7E" w:rsidRDefault="00190E80" w:rsidP="00190E80">
      <w:pPr>
        <w:rPr>
          <w:b/>
          <w:bCs/>
          <w:color w:val="156082" w:themeColor="accent1"/>
          <w:sz w:val="18"/>
          <w:szCs w:val="18"/>
        </w:rPr>
      </w:pPr>
      <w:r w:rsidRPr="005C3E7E">
        <w:rPr>
          <w:b/>
          <w:bCs/>
          <w:color w:val="156082" w:themeColor="accent1"/>
          <w:sz w:val="18"/>
          <w:szCs w:val="18"/>
        </w:rPr>
        <w:t>Document Approval History</w:t>
      </w:r>
    </w:p>
    <w:p w14:paraId="3D2F09D6" w14:textId="77777777" w:rsidR="00190E80" w:rsidRPr="005C3E7E" w:rsidRDefault="00190E80" w:rsidP="00190E80">
      <w:pPr>
        <w:rPr>
          <w:sz w:val="18"/>
          <w:szCs w:val="18"/>
        </w:rPr>
      </w:pPr>
      <w:r w:rsidRPr="005C3E7E">
        <w:rPr>
          <w:sz w:val="18"/>
          <w:szCs w:val="18"/>
        </w:rPr>
        <w:t>Approval of the technical requirement document indicates an understanding of the purpose, and the content described. By signing the deliverable, everyone agrees work should be initialized on this project and necessary resources should be committed as described herein.</w:t>
      </w:r>
    </w:p>
    <w:tbl>
      <w:tblPr>
        <w:tblStyle w:val="KeyDataTable"/>
        <w:tblW w:w="9611" w:type="dxa"/>
        <w:tblLayout w:type="fixed"/>
        <w:tblLook w:val="04A0" w:firstRow="1" w:lastRow="0" w:firstColumn="1" w:lastColumn="0" w:noHBand="0" w:noVBand="1"/>
      </w:tblPr>
      <w:tblGrid>
        <w:gridCol w:w="1843"/>
        <w:gridCol w:w="903"/>
        <w:gridCol w:w="1790"/>
        <w:gridCol w:w="2835"/>
        <w:gridCol w:w="1134"/>
        <w:gridCol w:w="1106"/>
      </w:tblGrid>
      <w:tr w:rsidR="00190E80" w:rsidRPr="005C3E7E" w14:paraId="47D50DD1" w14:textId="77777777" w:rsidTr="00F16DF3">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843" w:type="dxa"/>
            <w:vAlign w:val="top"/>
          </w:tcPr>
          <w:p w14:paraId="509936F3" w14:textId="77777777" w:rsidR="00190E80" w:rsidRPr="005C3E7E" w:rsidRDefault="00190E80" w:rsidP="00F16DF3">
            <w:pPr>
              <w:rPr>
                <w:rFonts w:asciiTheme="minorHAnsi" w:hAnsiTheme="minorHAnsi"/>
                <w:szCs w:val="18"/>
              </w:rPr>
            </w:pPr>
            <w:r w:rsidRPr="005C3E7E">
              <w:rPr>
                <w:rFonts w:asciiTheme="minorHAnsi" w:hAnsiTheme="minorHAnsi"/>
                <w:szCs w:val="18"/>
              </w:rPr>
              <w:t xml:space="preserve">Approver </w:t>
            </w:r>
          </w:p>
        </w:tc>
        <w:tc>
          <w:tcPr>
            <w:tcW w:w="903" w:type="dxa"/>
          </w:tcPr>
          <w:p w14:paraId="20DDEACF" w14:textId="77777777" w:rsidR="00190E80" w:rsidRPr="005C3E7E" w:rsidRDefault="00190E80" w:rsidP="00F16DF3">
            <w:pPr>
              <w:cnfStyle w:val="100000000000" w:firstRow="1"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color w:val="156082" w:themeColor="accent1"/>
                <w:szCs w:val="18"/>
              </w:rPr>
              <w:t>Position</w:t>
            </w:r>
          </w:p>
        </w:tc>
        <w:tc>
          <w:tcPr>
            <w:tcW w:w="1790" w:type="dxa"/>
            <w:vAlign w:val="top"/>
          </w:tcPr>
          <w:p w14:paraId="7C85DB91" w14:textId="77777777" w:rsidR="00190E80" w:rsidRPr="005C3E7E" w:rsidRDefault="00190E80" w:rsidP="00F16DF3">
            <w:pPr>
              <w:cnfStyle w:val="100000000000" w:firstRow="1"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color w:val="156082" w:themeColor="accent1"/>
                <w:szCs w:val="18"/>
              </w:rPr>
              <w:t xml:space="preserve">Role </w:t>
            </w:r>
          </w:p>
        </w:tc>
        <w:tc>
          <w:tcPr>
            <w:tcW w:w="2835" w:type="dxa"/>
          </w:tcPr>
          <w:p w14:paraId="364537BF" w14:textId="77777777" w:rsidR="00190E80" w:rsidRPr="005C3E7E" w:rsidRDefault="00190E80" w:rsidP="00F16DF3">
            <w:pPr>
              <w:cnfStyle w:val="100000000000" w:firstRow="1" w:lastRow="0" w:firstColumn="0" w:lastColumn="0" w:oddVBand="0" w:evenVBand="0" w:oddHBand="0" w:evenHBand="0" w:firstRowFirstColumn="0" w:firstRowLastColumn="0" w:lastRowFirstColumn="0" w:lastRowLastColumn="0"/>
              <w:rPr>
                <w:rFonts w:asciiTheme="minorHAnsi" w:hAnsiTheme="minorHAnsi"/>
                <w:color w:val="156082" w:themeColor="accent1"/>
                <w:szCs w:val="18"/>
              </w:rPr>
            </w:pPr>
            <w:r w:rsidRPr="005C3E7E">
              <w:rPr>
                <w:rFonts w:asciiTheme="minorHAnsi" w:hAnsiTheme="minorHAnsi"/>
                <w:color w:val="156082" w:themeColor="accent1"/>
                <w:szCs w:val="18"/>
              </w:rPr>
              <w:t>Function</w:t>
            </w:r>
          </w:p>
        </w:tc>
        <w:tc>
          <w:tcPr>
            <w:tcW w:w="1134" w:type="dxa"/>
          </w:tcPr>
          <w:p w14:paraId="18786DC9" w14:textId="77777777" w:rsidR="00190E80" w:rsidRPr="005C3E7E" w:rsidRDefault="00190E80" w:rsidP="00F16DF3">
            <w:pPr>
              <w:cnfStyle w:val="100000000000" w:firstRow="1"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color w:val="156082" w:themeColor="accent1"/>
                <w:szCs w:val="18"/>
              </w:rPr>
              <w:t xml:space="preserve">Ver. No </w:t>
            </w:r>
          </w:p>
        </w:tc>
        <w:tc>
          <w:tcPr>
            <w:tcW w:w="1106" w:type="dxa"/>
          </w:tcPr>
          <w:p w14:paraId="5F1871DD" w14:textId="77777777" w:rsidR="00190E80" w:rsidRPr="005C3E7E" w:rsidRDefault="00190E80" w:rsidP="00F16DF3">
            <w:pPr>
              <w:cnfStyle w:val="100000000000" w:firstRow="1" w:lastRow="0" w:firstColumn="0" w:lastColumn="0" w:oddVBand="0" w:evenVBand="0" w:oddHBand="0" w:evenHBand="0" w:firstRowFirstColumn="0" w:firstRowLastColumn="0" w:lastRowFirstColumn="0" w:lastRowLastColumn="0"/>
              <w:rPr>
                <w:rFonts w:asciiTheme="minorHAnsi" w:hAnsiTheme="minorHAnsi"/>
                <w:color w:val="156082" w:themeColor="accent1"/>
                <w:szCs w:val="18"/>
              </w:rPr>
            </w:pPr>
            <w:r w:rsidRPr="005C3E7E">
              <w:rPr>
                <w:rFonts w:asciiTheme="minorHAnsi" w:hAnsiTheme="minorHAnsi"/>
                <w:color w:val="156082" w:themeColor="accent1"/>
                <w:szCs w:val="18"/>
              </w:rPr>
              <w:t>Date</w:t>
            </w:r>
          </w:p>
        </w:tc>
      </w:tr>
      <w:tr w:rsidR="00190E80" w:rsidRPr="005C3E7E" w14:paraId="2E18D41D" w14:textId="77777777" w:rsidTr="00F16DF3">
        <w:trPr>
          <w:trHeight w:val="129"/>
        </w:trPr>
        <w:tc>
          <w:tcPr>
            <w:cnfStyle w:val="001000000000" w:firstRow="0" w:lastRow="0" w:firstColumn="1" w:lastColumn="0" w:oddVBand="0" w:evenVBand="0" w:oddHBand="0" w:evenHBand="0" w:firstRowFirstColumn="0" w:firstRowLastColumn="0" w:lastRowFirstColumn="0" w:lastRowLastColumn="0"/>
            <w:tcW w:w="1843" w:type="dxa"/>
            <w:vAlign w:val="top"/>
          </w:tcPr>
          <w:p w14:paraId="537FDF4B" w14:textId="77777777" w:rsidR="00190E80" w:rsidRPr="005C3E7E" w:rsidRDefault="00190E80" w:rsidP="00F16DF3">
            <w:pPr>
              <w:rPr>
                <w:rFonts w:asciiTheme="minorHAnsi" w:hAnsiTheme="minorHAnsi"/>
                <w:color w:val="auto"/>
                <w:szCs w:val="18"/>
              </w:rPr>
            </w:pPr>
            <w:r w:rsidRPr="005C3E7E">
              <w:rPr>
                <w:rFonts w:asciiTheme="minorHAnsi" w:hAnsiTheme="minorHAnsi"/>
                <w:color w:val="auto"/>
                <w:szCs w:val="18"/>
              </w:rPr>
              <w:t>Richard Manthorpe</w:t>
            </w:r>
          </w:p>
        </w:tc>
        <w:tc>
          <w:tcPr>
            <w:tcW w:w="903" w:type="dxa"/>
            <w:vAlign w:val="top"/>
          </w:tcPr>
          <w:p w14:paraId="6BA62E50"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D</w:t>
            </w:r>
          </w:p>
        </w:tc>
        <w:tc>
          <w:tcPr>
            <w:tcW w:w="1790" w:type="dxa"/>
            <w:vAlign w:val="top"/>
          </w:tcPr>
          <w:p w14:paraId="614BACBF"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 xml:space="preserve">Domain Architect </w:t>
            </w:r>
          </w:p>
        </w:tc>
        <w:tc>
          <w:tcPr>
            <w:tcW w:w="2835" w:type="dxa"/>
          </w:tcPr>
          <w:p w14:paraId="2F2EF4A1"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Automation Platforms</w:t>
            </w:r>
          </w:p>
        </w:tc>
        <w:tc>
          <w:tcPr>
            <w:tcW w:w="1134" w:type="dxa"/>
            <w:vAlign w:val="top"/>
          </w:tcPr>
          <w:p w14:paraId="376B84C7"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[Version]</w:t>
            </w:r>
          </w:p>
        </w:tc>
        <w:tc>
          <w:tcPr>
            <w:tcW w:w="1106" w:type="dxa"/>
            <w:vAlign w:val="top"/>
          </w:tcPr>
          <w:p w14:paraId="32D19A4A"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[Date]</w:t>
            </w:r>
          </w:p>
        </w:tc>
      </w:tr>
      <w:tr w:rsidR="00190E80" w:rsidRPr="005C3E7E" w14:paraId="7A365D8E" w14:textId="77777777" w:rsidTr="00F16DF3">
        <w:trPr>
          <w:trHeight w:val="374"/>
        </w:trPr>
        <w:tc>
          <w:tcPr>
            <w:cnfStyle w:val="001000000000" w:firstRow="0" w:lastRow="0" w:firstColumn="1" w:lastColumn="0" w:oddVBand="0" w:evenVBand="0" w:oddHBand="0" w:evenHBand="0" w:firstRowFirstColumn="0" w:firstRowLastColumn="0" w:lastRowFirstColumn="0" w:lastRowLastColumn="0"/>
            <w:tcW w:w="1843" w:type="dxa"/>
            <w:vAlign w:val="top"/>
          </w:tcPr>
          <w:p w14:paraId="158B6833" w14:textId="77777777" w:rsidR="00190E80" w:rsidRPr="005C3E7E" w:rsidRDefault="00190E80" w:rsidP="00F16DF3">
            <w:pPr>
              <w:rPr>
                <w:rFonts w:asciiTheme="minorHAnsi" w:hAnsiTheme="minorHAnsi"/>
                <w:szCs w:val="18"/>
              </w:rPr>
            </w:pPr>
            <w:r w:rsidRPr="005C3E7E">
              <w:rPr>
                <w:rFonts w:asciiTheme="minorHAnsi" w:hAnsiTheme="minorHAnsi"/>
                <w:color w:val="auto"/>
                <w:szCs w:val="18"/>
              </w:rPr>
              <w:t>Vanessa Yiu</w:t>
            </w:r>
            <w:r w:rsidRPr="005C3E7E">
              <w:rPr>
                <w:rFonts w:asciiTheme="minorHAnsi" w:hAnsiTheme="minorHAnsi"/>
                <w:szCs w:val="18"/>
              </w:rPr>
              <w:t xml:space="preserve"> </w:t>
            </w:r>
          </w:p>
        </w:tc>
        <w:tc>
          <w:tcPr>
            <w:tcW w:w="903" w:type="dxa"/>
            <w:vAlign w:val="top"/>
          </w:tcPr>
          <w:p w14:paraId="2029204E"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MD</w:t>
            </w:r>
          </w:p>
        </w:tc>
        <w:tc>
          <w:tcPr>
            <w:tcW w:w="1790" w:type="dxa"/>
            <w:vAlign w:val="top"/>
          </w:tcPr>
          <w:p w14:paraId="64C91784"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Head of</w:t>
            </w:r>
          </w:p>
        </w:tc>
        <w:tc>
          <w:tcPr>
            <w:tcW w:w="2835" w:type="dxa"/>
          </w:tcPr>
          <w:p w14:paraId="1198123A"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Automation Platforms</w:t>
            </w:r>
          </w:p>
        </w:tc>
        <w:tc>
          <w:tcPr>
            <w:tcW w:w="1134" w:type="dxa"/>
            <w:vAlign w:val="top"/>
          </w:tcPr>
          <w:p w14:paraId="11FFE46F"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[Version]</w:t>
            </w:r>
          </w:p>
        </w:tc>
        <w:tc>
          <w:tcPr>
            <w:tcW w:w="1106" w:type="dxa"/>
            <w:vAlign w:val="top"/>
          </w:tcPr>
          <w:p w14:paraId="20EB33FE"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[Date]</w:t>
            </w:r>
          </w:p>
        </w:tc>
      </w:tr>
      <w:tr w:rsidR="00190E80" w:rsidRPr="005C3E7E" w14:paraId="1080C7CE" w14:textId="77777777" w:rsidTr="00F16DF3">
        <w:trPr>
          <w:trHeight w:val="374"/>
        </w:trPr>
        <w:tc>
          <w:tcPr>
            <w:cnfStyle w:val="001000000000" w:firstRow="0" w:lastRow="0" w:firstColumn="1" w:lastColumn="0" w:oddVBand="0" w:evenVBand="0" w:oddHBand="0" w:evenHBand="0" w:firstRowFirstColumn="0" w:firstRowLastColumn="0" w:lastRowFirstColumn="0" w:lastRowLastColumn="0"/>
            <w:tcW w:w="1843" w:type="dxa"/>
            <w:vAlign w:val="top"/>
          </w:tcPr>
          <w:p w14:paraId="12AFF8F7" w14:textId="77777777" w:rsidR="00190E80" w:rsidRPr="005C3E7E" w:rsidRDefault="00190E80" w:rsidP="00F16DF3">
            <w:pPr>
              <w:rPr>
                <w:rFonts w:asciiTheme="minorHAnsi" w:hAnsiTheme="minorHAnsi"/>
                <w:color w:val="auto"/>
                <w:szCs w:val="18"/>
              </w:rPr>
            </w:pPr>
            <w:r w:rsidRPr="005C3E7E">
              <w:rPr>
                <w:rFonts w:asciiTheme="minorHAnsi" w:hAnsiTheme="minorHAnsi"/>
                <w:color w:val="auto"/>
                <w:szCs w:val="18"/>
              </w:rPr>
              <w:t>Barry Ross</w:t>
            </w:r>
          </w:p>
        </w:tc>
        <w:tc>
          <w:tcPr>
            <w:tcW w:w="903" w:type="dxa"/>
            <w:vAlign w:val="top"/>
          </w:tcPr>
          <w:p w14:paraId="03EED042"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D</w:t>
            </w:r>
          </w:p>
        </w:tc>
        <w:tc>
          <w:tcPr>
            <w:tcW w:w="1790" w:type="dxa"/>
            <w:vAlign w:val="top"/>
          </w:tcPr>
          <w:p w14:paraId="7BB8341D"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Portfolio owner</w:t>
            </w:r>
          </w:p>
        </w:tc>
        <w:tc>
          <w:tcPr>
            <w:tcW w:w="2835" w:type="dxa"/>
          </w:tcPr>
          <w:p w14:paraId="64B428F4"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Automation Platforms</w:t>
            </w:r>
          </w:p>
        </w:tc>
        <w:tc>
          <w:tcPr>
            <w:tcW w:w="1134" w:type="dxa"/>
            <w:vAlign w:val="top"/>
          </w:tcPr>
          <w:p w14:paraId="6E94128C"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[Version]</w:t>
            </w:r>
          </w:p>
        </w:tc>
        <w:tc>
          <w:tcPr>
            <w:tcW w:w="1106" w:type="dxa"/>
            <w:vAlign w:val="top"/>
          </w:tcPr>
          <w:p w14:paraId="41987301"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[Date]</w:t>
            </w:r>
          </w:p>
        </w:tc>
      </w:tr>
      <w:tr w:rsidR="00190E80" w:rsidRPr="005C3E7E" w14:paraId="26C041D2" w14:textId="77777777" w:rsidTr="00F16DF3">
        <w:trPr>
          <w:trHeight w:val="374"/>
        </w:trPr>
        <w:tc>
          <w:tcPr>
            <w:cnfStyle w:val="001000000000" w:firstRow="0" w:lastRow="0" w:firstColumn="1" w:lastColumn="0" w:oddVBand="0" w:evenVBand="0" w:oddHBand="0" w:evenHBand="0" w:firstRowFirstColumn="0" w:firstRowLastColumn="0" w:lastRowFirstColumn="0" w:lastRowLastColumn="0"/>
            <w:tcW w:w="1843" w:type="dxa"/>
            <w:vAlign w:val="top"/>
          </w:tcPr>
          <w:p w14:paraId="377DE687" w14:textId="77777777" w:rsidR="00190E80" w:rsidRPr="005C3E7E" w:rsidRDefault="00190E80" w:rsidP="00F16DF3">
            <w:pPr>
              <w:rPr>
                <w:rFonts w:asciiTheme="minorHAnsi" w:hAnsiTheme="minorHAnsi"/>
                <w:color w:val="auto"/>
                <w:szCs w:val="18"/>
              </w:rPr>
            </w:pPr>
            <w:r w:rsidRPr="005C3E7E">
              <w:rPr>
                <w:rFonts w:asciiTheme="minorHAnsi" w:hAnsiTheme="minorHAnsi"/>
                <w:color w:val="auto"/>
                <w:szCs w:val="18"/>
              </w:rPr>
              <w:t>Sudha Sunil-Kumar</w:t>
            </w:r>
          </w:p>
        </w:tc>
        <w:tc>
          <w:tcPr>
            <w:tcW w:w="903" w:type="dxa"/>
            <w:vAlign w:val="top"/>
          </w:tcPr>
          <w:p w14:paraId="7401A7D3"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D</w:t>
            </w:r>
          </w:p>
        </w:tc>
        <w:tc>
          <w:tcPr>
            <w:tcW w:w="1790" w:type="dxa"/>
            <w:vAlign w:val="top"/>
          </w:tcPr>
          <w:p w14:paraId="7E90413C"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Platform owner</w:t>
            </w:r>
          </w:p>
        </w:tc>
        <w:tc>
          <w:tcPr>
            <w:tcW w:w="2835" w:type="dxa"/>
          </w:tcPr>
          <w:p w14:paraId="7F239719"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ServiceNow Transformation</w:t>
            </w:r>
          </w:p>
        </w:tc>
        <w:tc>
          <w:tcPr>
            <w:tcW w:w="1134" w:type="dxa"/>
            <w:vAlign w:val="top"/>
          </w:tcPr>
          <w:p w14:paraId="1368A77A"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[Version]</w:t>
            </w:r>
          </w:p>
        </w:tc>
        <w:tc>
          <w:tcPr>
            <w:tcW w:w="1106" w:type="dxa"/>
            <w:vAlign w:val="top"/>
          </w:tcPr>
          <w:p w14:paraId="30ED9D82"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[Date]</w:t>
            </w:r>
          </w:p>
        </w:tc>
      </w:tr>
      <w:tr w:rsidR="00190E80" w:rsidRPr="005C3E7E" w14:paraId="5A9BB2E6" w14:textId="77777777" w:rsidTr="00F16DF3">
        <w:trPr>
          <w:trHeight w:val="374"/>
        </w:trPr>
        <w:tc>
          <w:tcPr>
            <w:cnfStyle w:val="001000000000" w:firstRow="0" w:lastRow="0" w:firstColumn="1" w:lastColumn="0" w:oddVBand="0" w:evenVBand="0" w:oddHBand="0" w:evenHBand="0" w:firstRowFirstColumn="0" w:firstRowLastColumn="0" w:lastRowFirstColumn="0" w:lastRowLastColumn="0"/>
            <w:tcW w:w="1843" w:type="dxa"/>
            <w:vAlign w:val="top"/>
          </w:tcPr>
          <w:p w14:paraId="31982788" w14:textId="77777777" w:rsidR="00190E80" w:rsidRPr="005C3E7E" w:rsidRDefault="00190E80" w:rsidP="00F16DF3">
            <w:pPr>
              <w:rPr>
                <w:rFonts w:asciiTheme="minorHAnsi" w:hAnsiTheme="minorHAnsi"/>
                <w:color w:val="auto"/>
                <w:szCs w:val="18"/>
              </w:rPr>
            </w:pPr>
            <w:r w:rsidRPr="005C3E7E">
              <w:rPr>
                <w:rFonts w:asciiTheme="minorHAnsi" w:hAnsiTheme="minorHAnsi"/>
                <w:color w:val="auto"/>
                <w:szCs w:val="18"/>
              </w:rPr>
              <w:t>Franz Plum</w:t>
            </w:r>
          </w:p>
        </w:tc>
        <w:tc>
          <w:tcPr>
            <w:tcW w:w="903" w:type="dxa"/>
            <w:vAlign w:val="top"/>
          </w:tcPr>
          <w:p w14:paraId="3531650C"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MD</w:t>
            </w:r>
          </w:p>
        </w:tc>
        <w:tc>
          <w:tcPr>
            <w:tcW w:w="1790" w:type="dxa"/>
            <w:vAlign w:val="top"/>
          </w:tcPr>
          <w:p w14:paraId="42FE52A1"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Head of</w:t>
            </w:r>
          </w:p>
        </w:tc>
        <w:tc>
          <w:tcPr>
            <w:tcW w:w="2835" w:type="dxa"/>
          </w:tcPr>
          <w:p w14:paraId="31B4B917"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GTI Strategy &amp; Architecture</w:t>
            </w:r>
          </w:p>
        </w:tc>
        <w:tc>
          <w:tcPr>
            <w:tcW w:w="1134" w:type="dxa"/>
            <w:vAlign w:val="top"/>
          </w:tcPr>
          <w:p w14:paraId="7D2D6F95"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[Version]</w:t>
            </w:r>
          </w:p>
        </w:tc>
        <w:tc>
          <w:tcPr>
            <w:tcW w:w="1106" w:type="dxa"/>
            <w:vAlign w:val="top"/>
          </w:tcPr>
          <w:p w14:paraId="531EAB3A"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[Date]</w:t>
            </w:r>
          </w:p>
        </w:tc>
      </w:tr>
      <w:tr w:rsidR="00190E80" w:rsidRPr="005C3E7E" w14:paraId="13B1295A" w14:textId="77777777" w:rsidTr="00F16DF3">
        <w:trPr>
          <w:trHeight w:val="374"/>
        </w:trPr>
        <w:tc>
          <w:tcPr>
            <w:cnfStyle w:val="001000000000" w:firstRow="0" w:lastRow="0" w:firstColumn="1" w:lastColumn="0" w:oddVBand="0" w:evenVBand="0" w:oddHBand="0" w:evenHBand="0" w:firstRowFirstColumn="0" w:firstRowLastColumn="0" w:lastRowFirstColumn="0" w:lastRowLastColumn="0"/>
            <w:tcW w:w="1843" w:type="dxa"/>
            <w:vAlign w:val="top"/>
          </w:tcPr>
          <w:p w14:paraId="75D9EFB2" w14:textId="21C17375" w:rsidR="00190E80" w:rsidRPr="005C3E7E" w:rsidRDefault="00EA19F0" w:rsidP="00F16DF3">
            <w:pPr>
              <w:rPr>
                <w:rFonts w:asciiTheme="minorHAnsi" w:hAnsiTheme="minorHAnsi"/>
                <w:szCs w:val="18"/>
              </w:rPr>
            </w:pPr>
            <w:r>
              <w:rPr>
                <w:rFonts w:asciiTheme="minorHAnsi" w:hAnsiTheme="minorHAnsi"/>
                <w:color w:val="auto"/>
                <w:szCs w:val="18"/>
              </w:rPr>
              <w:t>Craig Ballinghal</w:t>
            </w:r>
          </w:p>
        </w:tc>
        <w:tc>
          <w:tcPr>
            <w:tcW w:w="903" w:type="dxa"/>
            <w:vAlign w:val="top"/>
          </w:tcPr>
          <w:p w14:paraId="44CD7C7F"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D</w:t>
            </w:r>
          </w:p>
        </w:tc>
        <w:tc>
          <w:tcPr>
            <w:tcW w:w="1790" w:type="dxa"/>
            <w:vAlign w:val="top"/>
          </w:tcPr>
          <w:p w14:paraId="1A2DDF4B" w14:textId="6E553578" w:rsidR="00190E80" w:rsidRPr="005C3E7E" w:rsidRDefault="00EA19F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Pr>
                <w:rFonts w:asciiTheme="minorHAnsi" w:hAnsiTheme="minorHAnsi"/>
                <w:szCs w:val="18"/>
              </w:rPr>
              <w:t>Data Architect</w:t>
            </w:r>
          </w:p>
        </w:tc>
        <w:tc>
          <w:tcPr>
            <w:tcW w:w="2835" w:type="dxa"/>
          </w:tcPr>
          <w:p w14:paraId="6CDBFAD6" w14:textId="44F8579F" w:rsidR="00190E80" w:rsidRPr="005C3E7E" w:rsidRDefault="00EA19F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GTI Strategy &amp; Architecture</w:t>
            </w:r>
          </w:p>
        </w:tc>
        <w:tc>
          <w:tcPr>
            <w:tcW w:w="1134" w:type="dxa"/>
            <w:vAlign w:val="top"/>
          </w:tcPr>
          <w:p w14:paraId="4E32E598"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[Version]</w:t>
            </w:r>
          </w:p>
        </w:tc>
        <w:tc>
          <w:tcPr>
            <w:tcW w:w="1106" w:type="dxa"/>
            <w:vAlign w:val="top"/>
          </w:tcPr>
          <w:p w14:paraId="119EC9D2"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[Date]</w:t>
            </w:r>
          </w:p>
        </w:tc>
      </w:tr>
    </w:tbl>
    <w:p w14:paraId="0E8C0DAE" w14:textId="77777777" w:rsidR="00190E80" w:rsidRPr="005C3E7E" w:rsidRDefault="00190E80" w:rsidP="00190E80">
      <w:pPr>
        <w:rPr>
          <w:sz w:val="18"/>
          <w:szCs w:val="18"/>
        </w:rPr>
      </w:pPr>
    </w:p>
    <w:p w14:paraId="2DF59797" w14:textId="77777777" w:rsidR="00190E80" w:rsidRPr="005C3E7E" w:rsidRDefault="00190E80" w:rsidP="00190E80">
      <w:pPr>
        <w:rPr>
          <w:b/>
          <w:bCs/>
          <w:color w:val="156082" w:themeColor="accent1"/>
          <w:sz w:val="18"/>
          <w:szCs w:val="18"/>
        </w:rPr>
      </w:pPr>
      <w:r w:rsidRPr="005C3E7E">
        <w:rPr>
          <w:b/>
          <w:bCs/>
          <w:color w:val="156082" w:themeColor="accent1"/>
          <w:sz w:val="18"/>
          <w:szCs w:val="18"/>
        </w:rPr>
        <w:t xml:space="preserve">Business Sponsors </w:t>
      </w:r>
    </w:p>
    <w:p w14:paraId="41C54B5B" w14:textId="77777777" w:rsidR="00190E80" w:rsidRPr="005C3E7E" w:rsidRDefault="00190E80" w:rsidP="00190E80">
      <w:pPr>
        <w:rPr>
          <w:sz w:val="18"/>
          <w:szCs w:val="18"/>
        </w:rPr>
      </w:pPr>
      <w:r w:rsidRPr="005C3E7E">
        <w:rPr>
          <w:sz w:val="18"/>
          <w:szCs w:val="18"/>
        </w:rPr>
        <w:t>This architecture work is requested and sponsored by:</w:t>
      </w:r>
    </w:p>
    <w:tbl>
      <w:tblPr>
        <w:tblStyle w:val="KeyDataTable"/>
        <w:tblW w:w="9696" w:type="dxa"/>
        <w:tblInd w:w="-57" w:type="dxa"/>
        <w:tblLayout w:type="fixed"/>
        <w:tblLook w:val="04A0" w:firstRow="1" w:lastRow="0" w:firstColumn="1" w:lastColumn="0" w:noHBand="0" w:noVBand="1"/>
      </w:tblPr>
      <w:tblGrid>
        <w:gridCol w:w="1841"/>
        <w:gridCol w:w="1376"/>
        <w:gridCol w:w="2794"/>
        <w:gridCol w:w="2268"/>
        <w:gridCol w:w="1417"/>
      </w:tblGrid>
      <w:tr w:rsidR="00190E80" w:rsidRPr="005C3E7E" w14:paraId="7206512E" w14:textId="77777777" w:rsidTr="00F16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1" w:type="dxa"/>
            <w:vAlign w:val="top"/>
          </w:tcPr>
          <w:p w14:paraId="48E8B12F" w14:textId="77777777" w:rsidR="00190E80" w:rsidRPr="005C3E7E" w:rsidRDefault="00190E80" w:rsidP="00F16DF3">
            <w:pPr>
              <w:rPr>
                <w:rFonts w:asciiTheme="minorHAnsi" w:hAnsiTheme="minorHAnsi"/>
                <w:szCs w:val="18"/>
              </w:rPr>
            </w:pPr>
            <w:r w:rsidRPr="005C3E7E">
              <w:rPr>
                <w:rFonts w:asciiTheme="minorHAnsi" w:hAnsiTheme="minorHAnsi"/>
                <w:szCs w:val="18"/>
              </w:rPr>
              <w:t>Name</w:t>
            </w:r>
          </w:p>
        </w:tc>
        <w:tc>
          <w:tcPr>
            <w:tcW w:w="1376" w:type="dxa"/>
            <w:vAlign w:val="top"/>
          </w:tcPr>
          <w:p w14:paraId="21E22AB9" w14:textId="77777777" w:rsidR="00190E80" w:rsidRPr="005C3E7E" w:rsidRDefault="00190E80" w:rsidP="00F16DF3">
            <w:pPr>
              <w:cnfStyle w:val="100000000000" w:firstRow="1" w:lastRow="0" w:firstColumn="0" w:lastColumn="0" w:oddVBand="0" w:evenVBand="0" w:oddHBand="0" w:evenHBand="0" w:firstRowFirstColumn="0" w:firstRowLastColumn="0" w:lastRowFirstColumn="0" w:lastRowLastColumn="0"/>
              <w:rPr>
                <w:rFonts w:asciiTheme="minorHAnsi" w:hAnsiTheme="minorHAnsi"/>
                <w:color w:val="156082" w:themeColor="accent1"/>
                <w:szCs w:val="18"/>
              </w:rPr>
            </w:pPr>
            <w:r w:rsidRPr="005C3E7E">
              <w:rPr>
                <w:rFonts w:asciiTheme="minorHAnsi" w:hAnsiTheme="minorHAnsi"/>
                <w:color w:val="156082" w:themeColor="accent1"/>
                <w:szCs w:val="18"/>
              </w:rPr>
              <w:t>Position</w:t>
            </w:r>
          </w:p>
        </w:tc>
        <w:tc>
          <w:tcPr>
            <w:tcW w:w="2794" w:type="dxa"/>
            <w:vAlign w:val="top"/>
          </w:tcPr>
          <w:p w14:paraId="7C8DBC17" w14:textId="77777777" w:rsidR="00190E80" w:rsidRPr="005C3E7E" w:rsidRDefault="00190E80" w:rsidP="00F16DF3">
            <w:pPr>
              <w:cnfStyle w:val="100000000000" w:firstRow="1" w:lastRow="0" w:firstColumn="0" w:lastColumn="0" w:oddVBand="0" w:evenVBand="0" w:oddHBand="0" w:evenHBand="0" w:firstRowFirstColumn="0" w:firstRowLastColumn="0" w:lastRowFirstColumn="0" w:lastRowLastColumn="0"/>
              <w:rPr>
                <w:rFonts w:asciiTheme="minorHAnsi" w:hAnsiTheme="minorHAnsi"/>
                <w:color w:val="156082" w:themeColor="accent1"/>
                <w:szCs w:val="18"/>
              </w:rPr>
            </w:pPr>
            <w:r w:rsidRPr="005C3E7E">
              <w:rPr>
                <w:rFonts w:asciiTheme="minorHAnsi" w:hAnsiTheme="minorHAnsi"/>
                <w:color w:val="156082" w:themeColor="accent1"/>
                <w:szCs w:val="18"/>
              </w:rPr>
              <w:t>Organisation</w:t>
            </w:r>
          </w:p>
        </w:tc>
        <w:tc>
          <w:tcPr>
            <w:tcW w:w="2268" w:type="dxa"/>
            <w:vAlign w:val="top"/>
          </w:tcPr>
          <w:p w14:paraId="6475CA18" w14:textId="77777777" w:rsidR="00190E80" w:rsidRPr="005C3E7E" w:rsidRDefault="00190E80" w:rsidP="00F16DF3">
            <w:pPr>
              <w:cnfStyle w:val="100000000000" w:firstRow="1" w:lastRow="0" w:firstColumn="0" w:lastColumn="0" w:oddVBand="0" w:evenVBand="0" w:oddHBand="0" w:evenHBand="0" w:firstRowFirstColumn="0" w:firstRowLastColumn="0" w:lastRowFirstColumn="0" w:lastRowLastColumn="0"/>
              <w:rPr>
                <w:rFonts w:asciiTheme="minorHAnsi" w:hAnsiTheme="minorHAnsi"/>
                <w:color w:val="156082" w:themeColor="accent1"/>
                <w:szCs w:val="18"/>
              </w:rPr>
            </w:pPr>
            <w:r w:rsidRPr="005C3E7E">
              <w:rPr>
                <w:rFonts w:asciiTheme="minorHAnsi" w:hAnsiTheme="minorHAnsi"/>
                <w:color w:val="156082" w:themeColor="accent1"/>
                <w:szCs w:val="18"/>
              </w:rPr>
              <w:t>Email</w:t>
            </w:r>
          </w:p>
        </w:tc>
        <w:tc>
          <w:tcPr>
            <w:tcW w:w="1417" w:type="dxa"/>
          </w:tcPr>
          <w:p w14:paraId="15D6F1C8" w14:textId="77777777" w:rsidR="00190E80" w:rsidRPr="005C3E7E" w:rsidRDefault="00190E80" w:rsidP="00F16DF3">
            <w:pPr>
              <w:cnfStyle w:val="100000000000" w:firstRow="1" w:lastRow="0" w:firstColumn="0" w:lastColumn="0" w:oddVBand="0" w:evenVBand="0" w:oddHBand="0" w:evenHBand="0" w:firstRowFirstColumn="0" w:firstRowLastColumn="0" w:lastRowFirstColumn="0" w:lastRowLastColumn="0"/>
              <w:rPr>
                <w:rFonts w:asciiTheme="minorHAnsi" w:hAnsiTheme="minorHAnsi"/>
                <w:color w:val="156082" w:themeColor="accent1"/>
                <w:szCs w:val="18"/>
              </w:rPr>
            </w:pPr>
          </w:p>
        </w:tc>
      </w:tr>
      <w:tr w:rsidR="00190E80" w:rsidRPr="005C3E7E" w14:paraId="027655B9" w14:textId="77777777" w:rsidTr="00F16DF3">
        <w:tc>
          <w:tcPr>
            <w:cnfStyle w:val="001000000000" w:firstRow="0" w:lastRow="0" w:firstColumn="1" w:lastColumn="0" w:oddVBand="0" w:evenVBand="0" w:oddHBand="0" w:evenHBand="0" w:firstRowFirstColumn="0" w:firstRowLastColumn="0" w:lastRowFirstColumn="0" w:lastRowLastColumn="0"/>
            <w:tcW w:w="1841" w:type="dxa"/>
            <w:vAlign w:val="top"/>
          </w:tcPr>
          <w:p w14:paraId="77655582" w14:textId="3E536E43" w:rsidR="00190E80" w:rsidRPr="005C3E7E" w:rsidRDefault="005C3E7E" w:rsidP="00F16DF3">
            <w:pPr>
              <w:rPr>
                <w:rFonts w:asciiTheme="minorHAnsi" w:hAnsiTheme="minorHAnsi"/>
                <w:szCs w:val="18"/>
              </w:rPr>
            </w:pPr>
            <w:r>
              <w:rPr>
                <w:rFonts w:asciiTheme="minorHAnsi" w:hAnsiTheme="minorHAnsi"/>
                <w:color w:val="auto"/>
                <w:szCs w:val="18"/>
              </w:rPr>
              <w:t>Vaness Yiu</w:t>
            </w:r>
          </w:p>
        </w:tc>
        <w:tc>
          <w:tcPr>
            <w:tcW w:w="1376" w:type="dxa"/>
            <w:vAlign w:val="top"/>
          </w:tcPr>
          <w:p w14:paraId="058E498D"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MD</w:t>
            </w:r>
          </w:p>
        </w:tc>
        <w:tc>
          <w:tcPr>
            <w:tcW w:w="2794" w:type="dxa"/>
            <w:vAlign w:val="top"/>
          </w:tcPr>
          <w:p w14:paraId="3EA85A4C"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sidRPr="005C3E7E">
              <w:rPr>
                <w:rFonts w:asciiTheme="minorHAnsi" w:hAnsiTheme="minorHAnsi"/>
                <w:szCs w:val="18"/>
              </w:rPr>
              <w:t>Automation Platforms</w:t>
            </w:r>
          </w:p>
        </w:tc>
        <w:tc>
          <w:tcPr>
            <w:tcW w:w="2268" w:type="dxa"/>
            <w:vAlign w:val="top"/>
          </w:tcPr>
          <w:p w14:paraId="5B9CF8AA" w14:textId="5F6E3B80" w:rsidR="00190E80" w:rsidRPr="005C3E7E" w:rsidRDefault="005C3E7E"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r>
              <w:rPr>
                <w:rFonts w:asciiTheme="minorHAnsi" w:hAnsiTheme="minorHAnsi"/>
                <w:szCs w:val="18"/>
              </w:rPr>
              <w:t>Vanessa.yiu</w:t>
            </w:r>
            <w:r w:rsidR="00190E80" w:rsidRPr="005C3E7E">
              <w:rPr>
                <w:rFonts w:asciiTheme="minorHAnsi" w:hAnsiTheme="minorHAnsi"/>
                <w:szCs w:val="18"/>
              </w:rPr>
              <w:t>@db.com</w:t>
            </w:r>
          </w:p>
        </w:tc>
        <w:tc>
          <w:tcPr>
            <w:tcW w:w="1417" w:type="dxa"/>
          </w:tcPr>
          <w:p w14:paraId="2FFC708B" w14:textId="77777777" w:rsidR="00190E80" w:rsidRPr="005C3E7E" w:rsidRDefault="00190E80" w:rsidP="00F16DF3">
            <w:pPr>
              <w:cnfStyle w:val="000000000000" w:firstRow="0" w:lastRow="0" w:firstColumn="0" w:lastColumn="0" w:oddVBand="0" w:evenVBand="0" w:oddHBand="0" w:evenHBand="0" w:firstRowFirstColumn="0" w:firstRowLastColumn="0" w:lastRowFirstColumn="0" w:lastRowLastColumn="0"/>
              <w:rPr>
                <w:rFonts w:asciiTheme="minorHAnsi" w:hAnsiTheme="minorHAnsi"/>
                <w:szCs w:val="18"/>
              </w:rPr>
            </w:pPr>
          </w:p>
        </w:tc>
      </w:tr>
    </w:tbl>
    <w:p w14:paraId="10C349CA" w14:textId="77777777" w:rsidR="00190E80" w:rsidRPr="005C3E7E" w:rsidRDefault="00190E80" w:rsidP="00190E80">
      <w:pPr>
        <w:rPr>
          <w:sz w:val="18"/>
          <w:szCs w:val="18"/>
        </w:rPr>
      </w:pPr>
    </w:p>
    <w:p w14:paraId="2C03A76E" w14:textId="77777777" w:rsidR="00190E80" w:rsidRDefault="00190E80">
      <w:pPr>
        <w:rPr>
          <w:b/>
          <w:bCs/>
        </w:rPr>
      </w:pPr>
      <w:r>
        <w:rPr>
          <w:b/>
          <w:bCs/>
        </w:rPr>
        <w:br w:type="page"/>
      </w:r>
    </w:p>
    <w:p w14:paraId="785386ED" w14:textId="3EB11F1E" w:rsidR="00B71F72" w:rsidRDefault="00B71F72">
      <w:pPr>
        <w:pStyle w:val="TOC1"/>
        <w:tabs>
          <w:tab w:val="right" w:leader="dot" w:pos="9016"/>
        </w:tabs>
        <w:rPr>
          <w:noProof/>
        </w:rPr>
      </w:pPr>
      <w:r>
        <w:rPr>
          <w:b/>
          <w:bCs/>
        </w:rPr>
        <w:lastRenderedPageBreak/>
        <w:fldChar w:fldCharType="begin"/>
      </w:r>
      <w:r>
        <w:rPr>
          <w:b/>
          <w:bCs/>
        </w:rPr>
        <w:instrText xml:space="preserve"> TOC \o "1-3" \h \z \u </w:instrText>
      </w:r>
      <w:r>
        <w:rPr>
          <w:b/>
          <w:bCs/>
        </w:rPr>
        <w:fldChar w:fldCharType="separate"/>
      </w:r>
      <w:hyperlink w:anchor="_Toc216103856" w:history="1">
        <w:r w:rsidRPr="00944FB1">
          <w:rPr>
            <w:rStyle w:val="Hyperlink"/>
            <w:noProof/>
          </w:rPr>
          <w:t>1. Executive Summary</w:t>
        </w:r>
        <w:r>
          <w:rPr>
            <w:noProof/>
            <w:webHidden/>
          </w:rPr>
          <w:tab/>
        </w:r>
        <w:r>
          <w:rPr>
            <w:noProof/>
            <w:webHidden/>
          </w:rPr>
          <w:fldChar w:fldCharType="begin"/>
        </w:r>
        <w:r>
          <w:rPr>
            <w:noProof/>
            <w:webHidden/>
          </w:rPr>
          <w:instrText xml:space="preserve"> PAGEREF _Toc216103856 \h </w:instrText>
        </w:r>
        <w:r>
          <w:rPr>
            <w:noProof/>
            <w:webHidden/>
          </w:rPr>
        </w:r>
        <w:r>
          <w:rPr>
            <w:noProof/>
            <w:webHidden/>
          </w:rPr>
          <w:fldChar w:fldCharType="separate"/>
        </w:r>
        <w:r>
          <w:rPr>
            <w:noProof/>
            <w:webHidden/>
          </w:rPr>
          <w:t>2</w:t>
        </w:r>
        <w:r>
          <w:rPr>
            <w:noProof/>
            <w:webHidden/>
          </w:rPr>
          <w:fldChar w:fldCharType="end"/>
        </w:r>
      </w:hyperlink>
    </w:p>
    <w:p w14:paraId="376C37B2" w14:textId="4288FDC3" w:rsidR="00B71F72" w:rsidRDefault="00B71F72">
      <w:pPr>
        <w:pStyle w:val="TOC1"/>
        <w:tabs>
          <w:tab w:val="right" w:leader="dot" w:pos="9016"/>
        </w:tabs>
        <w:rPr>
          <w:noProof/>
        </w:rPr>
      </w:pPr>
      <w:hyperlink w:anchor="_Toc216103857" w:history="1">
        <w:r w:rsidRPr="00944FB1">
          <w:rPr>
            <w:rStyle w:val="Hyperlink"/>
            <w:noProof/>
          </w:rPr>
          <w:t>2. Observability Strategy</w:t>
        </w:r>
        <w:r>
          <w:rPr>
            <w:noProof/>
            <w:webHidden/>
          </w:rPr>
          <w:tab/>
        </w:r>
        <w:r>
          <w:rPr>
            <w:noProof/>
            <w:webHidden/>
          </w:rPr>
          <w:fldChar w:fldCharType="begin"/>
        </w:r>
        <w:r>
          <w:rPr>
            <w:noProof/>
            <w:webHidden/>
          </w:rPr>
          <w:instrText xml:space="preserve"> PAGEREF _Toc216103857 \h </w:instrText>
        </w:r>
        <w:r>
          <w:rPr>
            <w:noProof/>
            <w:webHidden/>
          </w:rPr>
        </w:r>
        <w:r>
          <w:rPr>
            <w:noProof/>
            <w:webHidden/>
          </w:rPr>
          <w:fldChar w:fldCharType="separate"/>
        </w:r>
        <w:r>
          <w:rPr>
            <w:noProof/>
            <w:webHidden/>
          </w:rPr>
          <w:t>3</w:t>
        </w:r>
        <w:r>
          <w:rPr>
            <w:noProof/>
            <w:webHidden/>
          </w:rPr>
          <w:fldChar w:fldCharType="end"/>
        </w:r>
      </w:hyperlink>
    </w:p>
    <w:p w14:paraId="4DA17C68" w14:textId="59428D1A" w:rsidR="00B71F72" w:rsidRDefault="00B71F72">
      <w:pPr>
        <w:pStyle w:val="TOC2"/>
        <w:tabs>
          <w:tab w:val="right" w:leader="dot" w:pos="9016"/>
        </w:tabs>
        <w:rPr>
          <w:noProof/>
        </w:rPr>
      </w:pPr>
      <w:hyperlink w:anchor="_Toc216103858" w:history="1">
        <w:r w:rsidRPr="00944FB1">
          <w:rPr>
            <w:rStyle w:val="Hyperlink"/>
            <w:noProof/>
          </w:rPr>
          <w:t>2.1. Problem Statement</w:t>
        </w:r>
        <w:r>
          <w:rPr>
            <w:noProof/>
            <w:webHidden/>
          </w:rPr>
          <w:tab/>
        </w:r>
        <w:r>
          <w:rPr>
            <w:noProof/>
            <w:webHidden/>
          </w:rPr>
          <w:fldChar w:fldCharType="begin"/>
        </w:r>
        <w:r>
          <w:rPr>
            <w:noProof/>
            <w:webHidden/>
          </w:rPr>
          <w:instrText xml:space="preserve"> PAGEREF _Toc216103858 \h </w:instrText>
        </w:r>
        <w:r>
          <w:rPr>
            <w:noProof/>
            <w:webHidden/>
          </w:rPr>
        </w:r>
        <w:r>
          <w:rPr>
            <w:noProof/>
            <w:webHidden/>
          </w:rPr>
          <w:fldChar w:fldCharType="separate"/>
        </w:r>
        <w:r>
          <w:rPr>
            <w:noProof/>
            <w:webHidden/>
          </w:rPr>
          <w:t>3</w:t>
        </w:r>
        <w:r>
          <w:rPr>
            <w:noProof/>
            <w:webHidden/>
          </w:rPr>
          <w:fldChar w:fldCharType="end"/>
        </w:r>
      </w:hyperlink>
    </w:p>
    <w:p w14:paraId="472E8C54" w14:textId="5681FE75" w:rsidR="00B71F72" w:rsidRDefault="00B71F72">
      <w:pPr>
        <w:pStyle w:val="TOC2"/>
        <w:tabs>
          <w:tab w:val="right" w:leader="dot" w:pos="9016"/>
        </w:tabs>
        <w:rPr>
          <w:noProof/>
        </w:rPr>
      </w:pPr>
      <w:hyperlink w:anchor="_Toc216103859" w:history="1">
        <w:r w:rsidRPr="00944FB1">
          <w:rPr>
            <w:rStyle w:val="Hyperlink"/>
            <w:noProof/>
          </w:rPr>
          <w:t>2.2. Observability Vision</w:t>
        </w:r>
        <w:r>
          <w:rPr>
            <w:noProof/>
            <w:webHidden/>
          </w:rPr>
          <w:tab/>
        </w:r>
        <w:r>
          <w:rPr>
            <w:noProof/>
            <w:webHidden/>
          </w:rPr>
          <w:fldChar w:fldCharType="begin"/>
        </w:r>
        <w:r>
          <w:rPr>
            <w:noProof/>
            <w:webHidden/>
          </w:rPr>
          <w:instrText xml:space="preserve"> PAGEREF _Toc216103859 \h </w:instrText>
        </w:r>
        <w:r>
          <w:rPr>
            <w:noProof/>
            <w:webHidden/>
          </w:rPr>
        </w:r>
        <w:r>
          <w:rPr>
            <w:noProof/>
            <w:webHidden/>
          </w:rPr>
          <w:fldChar w:fldCharType="separate"/>
        </w:r>
        <w:r>
          <w:rPr>
            <w:noProof/>
            <w:webHidden/>
          </w:rPr>
          <w:t>3</w:t>
        </w:r>
        <w:r>
          <w:rPr>
            <w:noProof/>
            <w:webHidden/>
          </w:rPr>
          <w:fldChar w:fldCharType="end"/>
        </w:r>
      </w:hyperlink>
    </w:p>
    <w:p w14:paraId="5FCA5798" w14:textId="6156C655" w:rsidR="00B71F72" w:rsidRDefault="00B71F72">
      <w:pPr>
        <w:pStyle w:val="TOC2"/>
        <w:tabs>
          <w:tab w:val="right" w:leader="dot" w:pos="9016"/>
        </w:tabs>
        <w:rPr>
          <w:noProof/>
        </w:rPr>
      </w:pPr>
      <w:hyperlink w:anchor="_Toc216103860" w:history="1">
        <w:r w:rsidRPr="00944FB1">
          <w:rPr>
            <w:rStyle w:val="Hyperlink"/>
            <w:noProof/>
          </w:rPr>
          <w:t>2.3. Interim State (2026)</w:t>
        </w:r>
        <w:r>
          <w:rPr>
            <w:noProof/>
            <w:webHidden/>
          </w:rPr>
          <w:tab/>
        </w:r>
        <w:r>
          <w:rPr>
            <w:noProof/>
            <w:webHidden/>
          </w:rPr>
          <w:fldChar w:fldCharType="begin"/>
        </w:r>
        <w:r>
          <w:rPr>
            <w:noProof/>
            <w:webHidden/>
          </w:rPr>
          <w:instrText xml:space="preserve"> PAGEREF _Toc216103860 \h </w:instrText>
        </w:r>
        <w:r>
          <w:rPr>
            <w:noProof/>
            <w:webHidden/>
          </w:rPr>
        </w:r>
        <w:r>
          <w:rPr>
            <w:noProof/>
            <w:webHidden/>
          </w:rPr>
          <w:fldChar w:fldCharType="separate"/>
        </w:r>
        <w:r>
          <w:rPr>
            <w:noProof/>
            <w:webHidden/>
          </w:rPr>
          <w:t>4</w:t>
        </w:r>
        <w:r>
          <w:rPr>
            <w:noProof/>
            <w:webHidden/>
          </w:rPr>
          <w:fldChar w:fldCharType="end"/>
        </w:r>
      </w:hyperlink>
    </w:p>
    <w:p w14:paraId="708F3D54" w14:textId="7AD5CCAC" w:rsidR="00B71F72" w:rsidRDefault="00B71F72">
      <w:pPr>
        <w:pStyle w:val="TOC2"/>
        <w:tabs>
          <w:tab w:val="right" w:leader="dot" w:pos="9016"/>
        </w:tabs>
        <w:rPr>
          <w:noProof/>
        </w:rPr>
      </w:pPr>
      <w:hyperlink w:anchor="_Toc216103861" w:history="1">
        <w:r w:rsidRPr="00944FB1">
          <w:rPr>
            <w:rStyle w:val="Hyperlink"/>
            <w:noProof/>
          </w:rPr>
          <w:t>2.4. Target State</w:t>
        </w:r>
        <w:r>
          <w:rPr>
            <w:noProof/>
            <w:webHidden/>
          </w:rPr>
          <w:tab/>
        </w:r>
        <w:r>
          <w:rPr>
            <w:noProof/>
            <w:webHidden/>
          </w:rPr>
          <w:fldChar w:fldCharType="begin"/>
        </w:r>
        <w:r>
          <w:rPr>
            <w:noProof/>
            <w:webHidden/>
          </w:rPr>
          <w:instrText xml:space="preserve"> PAGEREF _Toc216103861 \h </w:instrText>
        </w:r>
        <w:r>
          <w:rPr>
            <w:noProof/>
            <w:webHidden/>
          </w:rPr>
        </w:r>
        <w:r>
          <w:rPr>
            <w:noProof/>
            <w:webHidden/>
          </w:rPr>
          <w:fldChar w:fldCharType="separate"/>
        </w:r>
        <w:r>
          <w:rPr>
            <w:noProof/>
            <w:webHidden/>
          </w:rPr>
          <w:t>5</w:t>
        </w:r>
        <w:r>
          <w:rPr>
            <w:noProof/>
            <w:webHidden/>
          </w:rPr>
          <w:fldChar w:fldCharType="end"/>
        </w:r>
      </w:hyperlink>
    </w:p>
    <w:p w14:paraId="4230BAEC" w14:textId="34A4C7EF" w:rsidR="00B71F72" w:rsidRDefault="00B71F72">
      <w:pPr>
        <w:pStyle w:val="TOC2"/>
        <w:tabs>
          <w:tab w:val="right" w:leader="dot" w:pos="9016"/>
        </w:tabs>
        <w:rPr>
          <w:noProof/>
        </w:rPr>
      </w:pPr>
      <w:hyperlink w:anchor="_Toc216103862" w:history="1">
        <w:r w:rsidRPr="00944FB1">
          <w:rPr>
            <w:rStyle w:val="Hyperlink"/>
            <w:noProof/>
          </w:rPr>
          <w:t>2.5. Data Architecture (Key Principles)</w:t>
        </w:r>
        <w:r>
          <w:rPr>
            <w:noProof/>
            <w:webHidden/>
          </w:rPr>
          <w:tab/>
        </w:r>
        <w:r>
          <w:rPr>
            <w:noProof/>
            <w:webHidden/>
          </w:rPr>
          <w:fldChar w:fldCharType="begin"/>
        </w:r>
        <w:r>
          <w:rPr>
            <w:noProof/>
            <w:webHidden/>
          </w:rPr>
          <w:instrText xml:space="preserve"> PAGEREF _Toc216103862 \h </w:instrText>
        </w:r>
        <w:r>
          <w:rPr>
            <w:noProof/>
            <w:webHidden/>
          </w:rPr>
        </w:r>
        <w:r>
          <w:rPr>
            <w:noProof/>
            <w:webHidden/>
          </w:rPr>
          <w:fldChar w:fldCharType="separate"/>
        </w:r>
        <w:r>
          <w:rPr>
            <w:noProof/>
            <w:webHidden/>
          </w:rPr>
          <w:t>6</w:t>
        </w:r>
        <w:r>
          <w:rPr>
            <w:noProof/>
            <w:webHidden/>
          </w:rPr>
          <w:fldChar w:fldCharType="end"/>
        </w:r>
      </w:hyperlink>
    </w:p>
    <w:p w14:paraId="627FCFDE" w14:textId="27926C81" w:rsidR="00B71F72" w:rsidRDefault="00B71F72">
      <w:pPr>
        <w:pStyle w:val="TOC1"/>
        <w:tabs>
          <w:tab w:val="right" w:leader="dot" w:pos="9016"/>
        </w:tabs>
        <w:rPr>
          <w:noProof/>
        </w:rPr>
      </w:pPr>
      <w:hyperlink w:anchor="_Toc216103863" w:history="1">
        <w:r w:rsidRPr="00944FB1">
          <w:rPr>
            <w:rStyle w:val="Hyperlink"/>
            <w:noProof/>
          </w:rPr>
          <w:t>3. Capacity Management Strategy</w:t>
        </w:r>
        <w:r>
          <w:rPr>
            <w:noProof/>
            <w:webHidden/>
          </w:rPr>
          <w:tab/>
        </w:r>
        <w:r>
          <w:rPr>
            <w:noProof/>
            <w:webHidden/>
          </w:rPr>
          <w:fldChar w:fldCharType="begin"/>
        </w:r>
        <w:r>
          <w:rPr>
            <w:noProof/>
            <w:webHidden/>
          </w:rPr>
          <w:instrText xml:space="preserve"> PAGEREF _Toc216103863 \h </w:instrText>
        </w:r>
        <w:r>
          <w:rPr>
            <w:noProof/>
            <w:webHidden/>
          </w:rPr>
        </w:r>
        <w:r>
          <w:rPr>
            <w:noProof/>
            <w:webHidden/>
          </w:rPr>
          <w:fldChar w:fldCharType="separate"/>
        </w:r>
        <w:r>
          <w:rPr>
            <w:noProof/>
            <w:webHidden/>
          </w:rPr>
          <w:t>8</w:t>
        </w:r>
        <w:r>
          <w:rPr>
            <w:noProof/>
            <w:webHidden/>
          </w:rPr>
          <w:fldChar w:fldCharType="end"/>
        </w:r>
      </w:hyperlink>
    </w:p>
    <w:p w14:paraId="5C565336" w14:textId="7A3D25A2" w:rsidR="00B71F72" w:rsidRDefault="00B71F72">
      <w:pPr>
        <w:pStyle w:val="TOC2"/>
        <w:tabs>
          <w:tab w:val="right" w:leader="dot" w:pos="9016"/>
        </w:tabs>
        <w:rPr>
          <w:noProof/>
        </w:rPr>
      </w:pPr>
      <w:hyperlink w:anchor="_Toc216103864" w:history="1">
        <w:r w:rsidRPr="00944FB1">
          <w:rPr>
            <w:rStyle w:val="Hyperlink"/>
            <w:noProof/>
          </w:rPr>
          <w:t>3.1. Current State</w:t>
        </w:r>
        <w:r>
          <w:rPr>
            <w:noProof/>
            <w:webHidden/>
          </w:rPr>
          <w:tab/>
        </w:r>
        <w:r>
          <w:rPr>
            <w:noProof/>
            <w:webHidden/>
          </w:rPr>
          <w:fldChar w:fldCharType="begin"/>
        </w:r>
        <w:r>
          <w:rPr>
            <w:noProof/>
            <w:webHidden/>
          </w:rPr>
          <w:instrText xml:space="preserve"> PAGEREF _Toc216103864 \h </w:instrText>
        </w:r>
        <w:r>
          <w:rPr>
            <w:noProof/>
            <w:webHidden/>
          </w:rPr>
        </w:r>
        <w:r>
          <w:rPr>
            <w:noProof/>
            <w:webHidden/>
          </w:rPr>
          <w:fldChar w:fldCharType="separate"/>
        </w:r>
        <w:r>
          <w:rPr>
            <w:noProof/>
            <w:webHidden/>
          </w:rPr>
          <w:t>8</w:t>
        </w:r>
        <w:r>
          <w:rPr>
            <w:noProof/>
            <w:webHidden/>
          </w:rPr>
          <w:fldChar w:fldCharType="end"/>
        </w:r>
      </w:hyperlink>
    </w:p>
    <w:p w14:paraId="76C3171B" w14:textId="36016AAA" w:rsidR="00B71F72" w:rsidRDefault="00B71F72">
      <w:pPr>
        <w:pStyle w:val="TOC2"/>
        <w:tabs>
          <w:tab w:val="right" w:leader="dot" w:pos="9016"/>
        </w:tabs>
        <w:rPr>
          <w:noProof/>
        </w:rPr>
      </w:pPr>
      <w:hyperlink w:anchor="_Toc216103865" w:history="1">
        <w:r w:rsidRPr="00944FB1">
          <w:rPr>
            <w:rStyle w:val="Hyperlink"/>
            <w:noProof/>
          </w:rPr>
          <w:t>3.2. Challenges</w:t>
        </w:r>
        <w:r>
          <w:rPr>
            <w:noProof/>
            <w:webHidden/>
          </w:rPr>
          <w:tab/>
        </w:r>
        <w:r>
          <w:rPr>
            <w:noProof/>
            <w:webHidden/>
          </w:rPr>
          <w:fldChar w:fldCharType="begin"/>
        </w:r>
        <w:r>
          <w:rPr>
            <w:noProof/>
            <w:webHidden/>
          </w:rPr>
          <w:instrText xml:space="preserve"> PAGEREF _Toc216103865 \h </w:instrText>
        </w:r>
        <w:r>
          <w:rPr>
            <w:noProof/>
            <w:webHidden/>
          </w:rPr>
        </w:r>
        <w:r>
          <w:rPr>
            <w:noProof/>
            <w:webHidden/>
          </w:rPr>
          <w:fldChar w:fldCharType="separate"/>
        </w:r>
        <w:r>
          <w:rPr>
            <w:noProof/>
            <w:webHidden/>
          </w:rPr>
          <w:t>8</w:t>
        </w:r>
        <w:r>
          <w:rPr>
            <w:noProof/>
            <w:webHidden/>
          </w:rPr>
          <w:fldChar w:fldCharType="end"/>
        </w:r>
      </w:hyperlink>
    </w:p>
    <w:p w14:paraId="355A5481" w14:textId="3238AF50" w:rsidR="00B71F72" w:rsidRDefault="00B71F72">
      <w:pPr>
        <w:pStyle w:val="TOC2"/>
        <w:tabs>
          <w:tab w:val="right" w:leader="dot" w:pos="9016"/>
        </w:tabs>
        <w:rPr>
          <w:noProof/>
        </w:rPr>
      </w:pPr>
      <w:hyperlink w:anchor="_Toc216103866" w:history="1">
        <w:r w:rsidRPr="00944FB1">
          <w:rPr>
            <w:rStyle w:val="Hyperlink"/>
            <w:noProof/>
          </w:rPr>
          <w:t>3.3. Strategic Options</w:t>
        </w:r>
        <w:r>
          <w:rPr>
            <w:noProof/>
            <w:webHidden/>
          </w:rPr>
          <w:tab/>
        </w:r>
        <w:r>
          <w:rPr>
            <w:noProof/>
            <w:webHidden/>
          </w:rPr>
          <w:fldChar w:fldCharType="begin"/>
        </w:r>
        <w:r>
          <w:rPr>
            <w:noProof/>
            <w:webHidden/>
          </w:rPr>
          <w:instrText xml:space="preserve"> PAGEREF _Toc216103866 \h </w:instrText>
        </w:r>
        <w:r>
          <w:rPr>
            <w:noProof/>
            <w:webHidden/>
          </w:rPr>
        </w:r>
        <w:r>
          <w:rPr>
            <w:noProof/>
            <w:webHidden/>
          </w:rPr>
          <w:fldChar w:fldCharType="separate"/>
        </w:r>
        <w:r>
          <w:rPr>
            <w:noProof/>
            <w:webHidden/>
          </w:rPr>
          <w:t>8</w:t>
        </w:r>
        <w:r>
          <w:rPr>
            <w:noProof/>
            <w:webHidden/>
          </w:rPr>
          <w:fldChar w:fldCharType="end"/>
        </w:r>
      </w:hyperlink>
    </w:p>
    <w:p w14:paraId="6568AFB4" w14:textId="7B34DA05" w:rsidR="00B71F72" w:rsidRDefault="00B71F72">
      <w:pPr>
        <w:pStyle w:val="TOC2"/>
        <w:tabs>
          <w:tab w:val="right" w:leader="dot" w:pos="9016"/>
        </w:tabs>
        <w:rPr>
          <w:noProof/>
        </w:rPr>
      </w:pPr>
      <w:hyperlink w:anchor="_Toc216103867" w:history="1">
        <w:r w:rsidRPr="00944FB1">
          <w:rPr>
            <w:rStyle w:val="Hyperlink"/>
            <w:noProof/>
          </w:rPr>
          <w:t>3.4. Timelines and Milestones - Capacity Management</w:t>
        </w:r>
        <w:r>
          <w:rPr>
            <w:noProof/>
            <w:webHidden/>
          </w:rPr>
          <w:tab/>
        </w:r>
        <w:r>
          <w:rPr>
            <w:noProof/>
            <w:webHidden/>
          </w:rPr>
          <w:fldChar w:fldCharType="begin"/>
        </w:r>
        <w:r>
          <w:rPr>
            <w:noProof/>
            <w:webHidden/>
          </w:rPr>
          <w:instrText xml:space="preserve"> PAGEREF _Toc216103867 \h </w:instrText>
        </w:r>
        <w:r>
          <w:rPr>
            <w:noProof/>
            <w:webHidden/>
          </w:rPr>
        </w:r>
        <w:r>
          <w:rPr>
            <w:noProof/>
            <w:webHidden/>
          </w:rPr>
          <w:fldChar w:fldCharType="separate"/>
        </w:r>
        <w:r>
          <w:rPr>
            <w:noProof/>
            <w:webHidden/>
          </w:rPr>
          <w:t>9</w:t>
        </w:r>
        <w:r>
          <w:rPr>
            <w:noProof/>
            <w:webHidden/>
          </w:rPr>
          <w:fldChar w:fldCharType="end"/>
        </w:r>
      </w:hyperlink>
    </w:p>
    <w:p w14:paraId="7C297A3B" w14:textId="5E1D9CAB" w:rsidR="00B71F72" w:rsidRDefault="00B71F72">
      <w:pPr>
        <w:pStyle w:val="TOC1"/>
        <w:tabs>
          <w:tab w:val="right" w:leader="dot" w:pos="9016"/>
        </w:tabs>
        <w:rPr>
          <w:noProof/>
        </w:rPr>
      </w:pPr>
      <w:hyperlink w:anchor="_Toc216103868" w:history="1">
        <w:r w:rsidRPr="00944FB1">
          <w:rPr>
            <w:rStyle w:val="Hyperlink"/>
            <w:noProof/>
          </w:rPr>
          <w:t>4. Hybrid Cloud Readiness</w:t>
        </w:r>
        <w:r>
          <w:rPr>
            <w:noProof/>
            <w:webHidden/>
          </w:rPr>
          <w:tab/>
        </w:r>
        <w:r>
          <w:rPr>
            <w:noProof/>
            <w:webHidden/>
          </w:rPr>
          <w:fldChar w:fldCharType="begin"/>
        </w:r>
        <w:r>
          <w:rPr>
            <w:noProof/>
            <w:webHidden/>
          </w:rPr>
          <w:instrText xml:space="preserve"> PAGEREF _Toc216103868 \h </w:instrText>
        </w:r>
        <w:r>
          <w:rPr>
            <w:noProof/>
            <w:webHidden/>
          </w:rPr>
        </w:r>
        <w:r>
          <w:rPr>
            <w:noProof/>
            <w:webHidden/>
          </w:rPr>
          <w:fldChar w:fldCharType="separate"/>
        </w:r>
        <w:r>
          <w:rPr>
            <w:noProof/>
            <w:webHidden/>
          </w:rPr>
          <w:t>10</w:t>
        </w:r>
        <w:r>
          <w:rPr>
            <w:noProof/>
            <w:webHidden/>
          </w:rPr>
          <w:fldChar w:fldCharType="end"/>
        </w:r>
      </w:hyperlink>
    </w:p>
    <w:p w14:paraId="16914544" w14:textId="5E433493" w:rsidR="00B71F72" w:rsidRDefault="00B71F72">
      <w:pPr>
        <w:rPr>
          <w:b/>
          <w:bCs/>
        </w:rPr>
      </w:pPr>
      <w:r>
        <w:rPr>
          <w:b/>
          <w:bCs/>
        </w:rPr>
        <w:fldChar w:fldCharType="end"/>
      </w:r>
      <w:r>
        <w:rPr>
          <w:b/>
          <w:bCs/>
        </w:rPr>
        <w:br w:type="page"/>
      </w:r>
    </w:p>
    <w:p w14:paraId="31C8FEC9" w14:textId="773064A0" w:rsidR="00B71F72" w:rsidRPr="00B71F72" w:rsidRDefault="00B71F72" w:rsidP="00B71F72">
      <w:pPr>
        <w:pStyle w:val="Heading1"/>
      </w:pPr>
      <w:bookmarkStart w:id="0" w:name="_Toc216103856"/>
      <w:r w:rsidRPr="00B71F72">
        <w:lastRenderedPageBreak/>
        <w:t>1. Executive Summary</w:t>
      </w:r>
      <w:bookmarkEnd w:id="0"/>
    </w:p>
    <w:p w14:paraId="06E3229D" w14:textId="77777777" w:rsidR="00B71F72" w:rsidRPr="00B71F72" w:rsidRDefault="00B71F72" w:rsidP="00B71F72">
      <w:r w:rsidRPr="00B71F72">
        <w:t>Deutsche Bank's current approach to observability is fragmented, tool-focused, and suffers from a lack of collaboration and data sharing across technical teams. This results in a "culture of secrecy" that hinders the full benefits of observability from being realized. Our vision is to establish a consistent, enterprise-wide observability strategy that addresses these challenges without mandating significant tooling changes, leveraging existing tools and augmenting them with a unifying layer. We aim to enhance incident management, optimize costs, improve security of observability data, and meet regulatory demands. The strategy will improve business impact analysis, event correlation, root cause analysis, end-to-end monitoring, and reduce Mean Time to Detect (MTTD) and Mean Time to Resolve (MTTR).</w:t>
      </w:r>
    </w:p>
    <w:p w14:paraId="52B3A059" w14:textId="77777777" w:rsidR="00B71F72" w:rsidRPr="00B71F72" w:rsidRDefault="00B71F72" w:rsidP="00B71F72">
      <w:r w:rsidRPr="00B71F72">
        <w:t>For Capacity Management, the current BMC TSCO solution faces an end-of-life in Q1 2027 and a complex, costly migration path to its replacement, BHCO. This strategy outlines options to address this impending challenge, including evaluating market alternatives and considering an in-house solution.</w:t>
      </w:r>
    </w:p>
    <w:p w14:paraId="501B62D4" w14:textId="77777777" w:rsidR="00B71F72" w:rsidRPr="00B71F72" w:rsidRDefault="00B71F72" w:rsidP="00B71F72">
      <w:r w:rsidRPr="00B71F72">
        <w:t>The 2026 Book of Work outlines specific initiatives and deliverables across various architectural facets (AP Arch Facet), focusing on strategic product replacements, platform decommissioning, workflow automation, and compliance adherence to achieve the defined observability and capacity management goals.</w:t>
      </w:r>
    </w:p>
    <w:p w14:paraId="45AB3974" w14:textId="77777777" w:rsidR="00B71F72" w:rsidRPr="00B71F72" w:rsidRDefault="00000000" w:rsidP="00B71F72">
      <w:r>
        <w:pict w14:anchorId="0A9CDC56">
          <v:rect id="_x0000_i1026" style="width:0;height:1.5pt" o:hrstd="t" o:hr="t" fillcolor="#a0a0a0" stroked="f"/>
        </w:pict>
      </w:r>
    </w:p>
    <w:p w14:paraId="4A28C3CC" w14:textId="77777777" w:rsidR="00B71F72" w:rsidRDefault="00B71F72">
      <w:pPr>
        <w:rPr>
          <w:b/>
          <w:bCs/>
        </w:rPr>
      </w:pPr>
      <w:r>
        <w:rPr>
          <w:b/>
          <w:bCs/>
        </w:rPr>
        <w:br w:type="page"/>
      </w:r>
    </w:p>
    <w:p w14:paraId="54C7FA32" w14:textId="5E1AEDFC" w:rsidR="00B71F72" w:rsidRPr="00B71F72" w:rsidRDefault="00B71F72" w:rsidP="00B71F72">
      <w:pPr>
        <w:pStyle w:val="Heading1"/>
      </w:pPr>
      <w:bookmarkStart w:id="1" w:name="_Toc216103857"/>
      <w:r w:rsidRPr="00B71F72">
        <w:lastRenderedPageBreak/>
        <w:t>2. Observability Strategy</w:t>
      </w:r>
      <w:bookmarkEnd w:id="1"/>
    </w:p>
    <w:p w14:paraId="16D62EF4" w14:textId="77777777" w:rsidR="00B71F72" w:rsidRPr="00B71F72" w:rsidRDefault="00B71F72" w:rsidP="00B71F72">
      <w:pPr>
        <w:pStyle w:val="Heading2"/>
      </w:pPr>
      <w:bookmarkStart w:id="2" w:name="_Toc216103858"/>
      <w:r w:rsidRPr="00B71F72">
        <w:t>2.1. Problem Statement</w:t>
      </w:r>
      <w:bookmarkEnd w:id="2"/>
    </w:p>
    <w:p w14:paraId="31D3F180" w14:textId="77777777" w:rsidR="00B71F72" w:rsidRPr="00B71F72" w:rsidRDefault="00B71F72" w:rsidP="00B71F72">
      <w:pPr>
        <w:numPr>
          <w:ilvl w:val="0"/>
          <w:numId w:val="1"/>
        </w:numPr>
      </w:pPr>
      <w:r w:rsidRPr="00B71F72">
        <w:rPr>
          <w:b/>
          <w:bCs/>
        </w:rPr>
        <w:t>Tool-Focused Approach:</w:t>
      </w:r>
      <w:r w:rsidRPr="00B71F72">
        <w:t> Lack of key observability principles and recognition of observability as a distributed challenge. The Bank has a large and complex IT environment with numerous disconnected monitoring and observability tools leading to siloed telemetry, logs, and events.</w:t>
      </w:r>
    </w:p>
    <w:p w14:paraId="2AE49172" w14:textId="77777777" w:rsidR="00B71F72" w:rsidRPr="00B71F72" w:rsidRDefault="00B71F72" w:rsidP="00B71F72">
      <w:pPr>
        <w:numPr>
          <w:ilvl w:val="0"/>
          <w:numId w:val="1"/>
        </w:numPr>
      </w:pPr>
      <w:r w:rsidRPr="00B71F72">
        <w:rPr>
          <w:b/>
          <w:bCs/>
        </w:rPr>
        <w:t>Data Silos and Secrecy:</w:t>
      </w:r>
      <w:r w:rsidRPr="00B71F72">
        <w:t> Technical teams are reluctant to share data, hindering a holistic view of service performance and integrity. Duplicated data and inconsistent IT service management processes inhibit full-stack observability.</w:t>
      </w:r>
    </w:p>
    <w:p w14:paraId="1DAC8301" w14:textId="77777777" w:rsidR="00B71F72" w:rsidRPr="00B71F72" w:rsidRDefault="00B71F72" w:rsidP="00B71F72">
      <w:pPr>
        <w:numPr>
          <w:ilvl w:val="0"/>
          <w:numId w:val="1"/>
        </w:numPr>
      </w:pPr>
      <w:r w:rsidRPr="00B71F72">
        <w:rPr>
          <w:b/>
          <w:bCs/>
        </w:rPr>
        <w:t>Lack of Unified View:</w:t>
      </w:r>
      <w:r w:rsidRPr="00B71F72">
        <w:t> No "Single Pane of Glass" for monitoring, with approximately 40 interfaces to ServiceNow incident API. Operations teams source data independently from various silos.</w:t>
      </w:r>
    </w:p>
    <w:p w14:paraId="7E2A86DD" w14:textId="77777777" w:rsidR="00B71F72" w:rsidRPr="00B71F72" w:rsidRDefault="00B71F72" w:rsidP="00B71F72">
      <w:pPr>
        <w:numPr>
          <w:ilvl w:val="0"/>
          <w:numId w:val="1"/>
        </w:numPr>
      </w:pPr>
      <w:r w:rsidRPr="00B71F72">
        <w:rPr>
          <w:b/>
          <w:bCs/>
        </w:rPr>
        <w:t>Inconsistent Data:</w:t>
      </w:r>
      <w:r w:rsidRPr="00B71F72">
        <w:t> Impacts the ability to quickly identify root causes in major incidents.</w:t>
      </w:r>
    </w:p>
    <w:p w14:paraId="4084D3C1" w14:textId="77777777" w:rsidR="00B71F72" w:rsidRPr="00B71F72" w:rsidRDefault="00B71F72" w:rsidP="00B71F72">
      <w:pPr>
        <w:numPr>
          <w:ilvl w:val="0"/>
          <w:numId w:val="1"/>
        </w:numPr>
      </w:pPr>
      <w:r w:rsidRPr="00B71F72">
        <w:rPr>
          <w:b/>
          <w:bCs/>
        </w:rPr>
        <w:t>Limited AIOps:</w:t>
      </w:r>
      <w:r w:rsidRPr="00B71F72">
        <w:t> Not possible due to inconsistent and consolidated data, and limited implementation of predictive monitoring through AI capabilities or anomaly detection.</w:t>
      </w:r>
    </w:p>
    <w:p w14:paraId="42BC7C8A" w14:textId="77777777" w:rsidR="00B71F72" w:rsidRPr="00B71F72" w:rsidRDefault="00B71F72" w:rsidP="00B71F72">
      <w:pPr>
        <w:numPr>
          <w:ilvl w:val="0"/>
          <w:numId w:val="1"/>
        </w:numPr>
      </w:pPr>
      <w:r w:rsidRPr="00B71F72">
        <w:rPr>
          <w:b/>
          <w:bCs/>
        </w:rPr>
        <w:t>Operational Management:</w:t>
      </w:r>
      <w:r w:rsidRPr="00B71F72">
        <w:t> Still largely monitoring-driven, detecting pre-defined problems rather than predicting future issues.</w:t>
      </w:r>
    </w:p>
    <w:p w14:paraId="54028369" w14:textId="77777777" w:rsidR="00B71F72" w:rsidRPr="00B71F72" w:rsidRDefault="00B71F72" w:rsidP="00B71F72">
      <w:pPr>
        <w:pStyle w:val="Heading2"/>
      </w:pPr>
      <w:bookmarkStart w:id="3" w:name="_Toc216103859"/>
      <w:r w:rsidRPr="00B71F72">
        <w:t>2.2. Observability Vision</w:t>
      </w:r>
      <w:bookmarkEnd w:id="3"/>
    </w:p>
    <w:p w14:paraId="7F7845B5" w14:textId="77777777" w:rsidR="00B71F72" w:rsidRPr="00B71F72" w:rsidRDefault="00B71F72" w:rsidP="00B71F72">
      <w:pPr>
        <w:numPr>
          <w:ilvl w:val="0"/>
          <w:numId w:val="2"/>
        </w:numPr>
      </w:pPr>
      <w:r w:rsidRPr="00B71F72">
        <w:rPr>
          <w:b/>
          <w:bCs/>
        </w:rPr>
        <w:t>Consistent Strategy:</w:t>
      </w:r>
      <w:r w:rsidRPr="00B71F72">
        <w:t> Provide a strategy that acknowledges no single tool can meet all use cases. Define, at a high level, how cohesive monitoring and observability can be achieved in support of standardized ITSM processes.</w:t>
      </w:r>
    </w:p>
    <w:p w14:paraId="4417268B" w14:textId="77777777" w:rsidR="00B71F72" w:rsidRPr="00B71F72" w:rsidRDefault="00B71F72" w:rsidP="00B71F72">
      <w:pPr>
        <w:numPr>
          <w:ilvl w:val="0"/>
          <w:numId w:val="2"/>
        </w:numPr>
      </w:pPr>
      <w:r w:rsidRPr="00B71F72">
        <w:rPr>
          <w:b/>
          <w:bCs/>
        </w:rPr>
        <w:t>Data Sharing:</w:t>
      </w:r>
      <w:r w:rsidRPr="00B71F72">
        <w:t> Vital for enterprise-wide observability requirements. Modern observability solutions with correct telemetry data will not only detect problems but also show why and potentially when they might happen.</w:t>
      </w:r>
    </w:p>
    <w:p w14:paraId="472E6AA7" w14:textId="77777777" w:rsidR="00B71F72" w:rsidRPr="00B71F72" w:rsidRDefault="00B71F72" w:rsidP="00B71F72">
      <w:pPr>
        <w:numPr>
          <w:ilvl w:val="0"/>
          <w:numId w:val="2"/>
        </w:numPr>
      </w:pPr>
      <w:r w:rsidRPr="00B71F72">
        <w:rPr>
          <w:b/>
          <w:bCs/>
        </w:rPr>
        <w:t>Tooling Flexibility:</w:t>
      </w:r>
      <w:r w:rsidRPr="00B71F72">
        <w:t> Avoid mandating significant changes at the tooling level, recognizing the impracticality and cost of replacing all existing tools. The intention is to leverage existing tools and augment them with a unifying layer.</w:t>
      </w:r>
    </w:p>
    <w:p w14:paraId="5ABE5F6F" w14:textId="77777777" w:rsidR="00B71F72" w:rsidRPr="00B71F72" w:rsidRDefault="00B71F72" w:rsidP="00B71F72">
      <w:pPr>
        <w:numPr>
          <w:ilvl w:val="0"/>
          <w:numId w:val="2"/>
        </w:numPr>
      </w:pPr>
      <w:r w:rsidRPr="00B71F72">
        <w:rPr>
          <w:b/>
          <w:bCs/>
        </w:rPr>
        <w:t>Key Objectives:</w:t>
      </w:r>
    </w:p>
    <w:p w14:paraId="54600C33" w14:textId="77777777" w:rsidR="00B71F72" w:rsidRPr="00B71F72" w:rsidRDefault="00B71F72" w:rsidP="00B71F72">
      <w:pPr>
        <w:numPr>
          <w:ilvl w:val="1"/>
          <w:numId w:val="2"/>
        </w:numPr>
      </w:pPr>
      <w:r w:rsidRPr="00B71F72">
        <w:t>Cost optimization of observability.</w:t>
      </w:r>
    </w:p>
    <w:p w14:paraId="03C0E96E" w14:textId="77777777" w:rsidR="00B71F72" w:rsidRPr="00B71F72" w:rsidRDefault="00B71F72" w:rsidP="00B71F72">
      <w:pPr>
        <w:numPr>
          <w:ilvl w:val="1"/>
          <w:numId w:val="2"/>
        </w:numPr>
      </w:pPr>
      <w:r w:rsidRPr="00B71F72">
        <w:t>Clear improvement in incident processes.</w:t>
      </w:r>
    </w:p>
    <w:p w14:paraId="1AC7DFD4" w14:textId="77777777" w:rsidR="00B71F72" w:rsidRPr="00B71F72" w:rsidRDefault="00B71F72" w:rsidP="00B71F72">
      <w:pPr>
        <w:numPr>
          <w:ilvl w:val="1"/>
          <w:numId w:val="2"/>
        </w:numPr>
      </w:pPr>
      <w:r w:rsidRPr="00B71F72">
        <w:t>Enhanced security of observability data.</w:t>
      </w:r>
    </w:p>
    <w:p w14:paraId="00E28AB5" w14:textId="77777777" w:rsidR="00B71F72" w:rsidRPr="00B71F72" w:rsidRDefault="00B71F72" w:rsidP="00B71F72">
      <w:pPr>
        <w:numPr>
          <w:ilvl w:val="1"/>
          <w:numId w:val="2"/>
        </w:numPr>
      </w:pPr>
      <w:r w:rsidRPr="00B71F72">
        <w:lastRenderedPageBreak/>
        <w:t>Meeting regulator demand for observability system characteristics.</w:t>
      </w:r>
    </w:p>
    <w:p w14:paraId="0DEFE832" w14:textId="77777777" w:rsidR="00B71F72" w:rsidRPr="00B71F72" w:rsidRDefault="00B71F72" w:rsidP="00B71F72">
      <w:pPr>
        <w:numPr>
          <w:ilvl w:val="1"/>
          <w:numId w:val="2"/>
        </w:numPr>
      </w:pPr>
      <w:r w:rsidRPr="00B71F72">
        <w:t>Enhance business impact analysis based on Service Level Objectives (SLOs) and automated indicators (SLIs).</w:t>
      </w:r>
    </w:p>
    <w:p w14:paraId="47AB809C" w14:textId="77777777" w:rsidR="00B71F72" w:rsidRPr="00B71F72" w:rsidRDefault="00B71F72" w:rsidP="00B71F72">
      <w:pPr>
        <w:numPr>
          <w:ilvl w:val="1"/>
          <w:numId w:val="2"/>
        </w:numPr>
      </w:pPr>
      <w:r w:rsidRPr="00B71F72">
        <w:t>Enhance event correlation and root cause analysis (RCA).</w:t>
      </w:r>
    </w:p>
    <w:p w14:paraId="1971B9BA" w14:textId="77777777" w:rsidR="00B71F72" w:rsidRPr="00B71F72" w:rsidRDefault="00B71F72" w:rsidP="00B71F72">
      <w:pPr>
        <w:numPr>
          <w:ilvl w:val="1"/>
          <w:numId w:val="2"/>
        </w:numPr>
      </w:pPr>
      <w:r w:rsidRPr="00B71F72">
        <w:t>Enhance end-to-end monitoring and cross-team collaboration.</w:t>
      </w:r>
    </w:p>
    <w:p w14:paraId="3AEED6A8" w14:textId="77777777" w:rsidR="00B71F72" w:rsidRPr="00B71F72" w:rsidRDefault="00B71F72" w:rsidP="00B71F72">
      <w:pPr>
        <w:numPr>
          <w:ilvl w:val="1"/>
          <w:numId w:val="2"/>
        </w:numPr>
      </w:pPr>
      <w:r w:rsidRPr="00B71F72">
        <w:t>Reduce Mean Time to Detect (MTTD) and Mean Time to Resolve (MTTR).</w:t>
      </w:r>
    </w:p>
    <w:p w14:paraId="77ADCCCF" w14:textId="77777777" w:rsidR="00B71F72" w:rsidRPr="00B71F72" w:rsidRDefault="00B71F72" w:rsidP="00B71F72">
      <w:pPr>
        <w:numPr>
          <w:ilvl w:val="1"/>
          <w:numId w:val="2"/>
        </w:numPr>
      </w:pPr>
      <w:r w:rsidRPr="00B71F72">
        <w:t>Support standardization of ITSM processes for enhanced workflow automation and closer collaboration.</w:t>
      </w:r>
    </w:p>
    <w:p w14:paraId="4C3833F9" w14:textId="77777777" w:rsidR="00B71F72" w:rsidRDefault="00B71F72" w:rsidP="00B71F72">
      <w:bookmarkStart w:id="4" w:name="_Toc216103860"/>
      <w:r w:rsidRPr="00B71F72">
        <w:rPr>
          <w:rStyle w:val="Heading2Char"/>
        </w:rPr>
        <w:t>2.3. Interim State (2026)</w:t>
      </w:r>
      <w:bookmarkEnd w:id="4"/>
      <w:r w:rsidRPr="00B71F72">
        <w:t> </w:t>
      </w:r>
    </w:p>
    <w:p w14:paraId="619722F9" w14:textId="164ABCC3" w:rsidR="00B71F72" w:rsidRPr="00B71F72" w:rsidRDefault="00B71F72" w:rsidP="00B71F72">
      <w:r w:rsidRPr="00B71F72">
        <w:t>The interim state focuses on introducing a common data collection capability and data pipeline to reduce data complexity and accelerate the journey to AIOps. This involves integrating existing monitoring tools into a unified framework.</w:t>
      </w:r>
    </w:p>
    <w:p w14:paraId="7E259B5F" w14:textId="77777777" w:rsidR="00B71F72" w:rsidRPr="00B71F72" w:rsidRDefault="00B71F72" w:rsidP="00B71F72">
      <w:pPr>
        <w:numPr>
          <w:ilvl w:val="0"/>
          <w:numId w:val="3"/>
        </w:numPr>
      </w:pPr>
      <w:r w:rsidRPr="00B71F72">
        <w:rPr>
          <w:b/>
          <w:bCs/>
        </w:rPr>
        <w:t>Key Initiatives:</w:t>
      </w:r>
    </w:p>
    <w:p w14:paraId="03C68174" w14:textId="77777777" w:rsidR="00B71F72" w:rsidRPr="00B71F72" w:rsidRDefault="00B71F72" w:rsidP="00B71F72">
      <w:pPr>
        <w:numPr>
          <w:ilvl w:val="1"/>
          <w:numId w:val="3"/>
        </w:numPr>
      </w:pPr>
      <w:r w:rsidRPr="00B71F72">
        <w:t>Rollout New Relic to Hybrid Cloud.</w:t>
      </w:r>
    </w:p>
    <w:p w14:paraId="7160EF04" w14:textId="77777777" w:rsidR="00B71F72" w:rsidRPr="00B71F72" w:rsidRDefault="00B71F72" w:rsidP="00B71F72">
      <w:pPr>
        <w:numPr>
          <w:ilvl w:val="1"/>
          <w:numId w:val="3"/>
        </w:numPr>
      </w:pPr>
      <w:r w:rsidRPr="00B71F72">
        <w:t>Setup the 'Event Pipeline'.</w:t>
      </w:r>
    </w:p>
    <w:p w14:paraId="2EBE6F48" w14:textId="77777777" w:rsidR="00B71F72" w:rsidRPr="00B71F72" w:rsidRDefault="00B71F72" w:rsidP="00B71F72">
      <w:pPr>
        <w:numPr>
          <w:ilvl w:val="1"/>
          <w:numId w:val="3"/>
        </w:numPr>
      </w:pPr>
      <w:r w:rsidRPr="00B71F72">
        <w:t>Define Event Standards &amp; Best Practices.</w:t>
      </w:r>
    </w:p>
    <w:p w14:paraId="5ABFD653" w14:textId="77777777" w:rsidR="00B71F72" w:rsidRPr="00B71F72" w:rsidRDefault="00B71F72" w:rsidP="00B71F72">
      <w:pPr>
        <w:numPr>
          <w:ilvl w:val="1"/>
          <w:numId w:val="3"/>
        </w:numPr>
      </w:pPr>
      <w:r w:rsidRPr="00B71F72">
        <w:t>Update Event Management Process and Governance.</w:t>
      </w:r>
    </w:p>
    <w:p w14:paraId="0C8E1EB3" w14:textId="77777777" w:rsidR="00B71F72" w:rsidRPr="00B71F72" w:rsidRDefault="00B71F72" w:rsidP="00B71F72">
      <w:pPr>
        <w:numPr>
          <w:ilvl w:val="1"/>
          <w:numId w:val="3"/>
        </w:numPr>
      </w:pPr>
      <w:r w:rsidRPr="00B71F72">
        <w:t>Integrate GTI Solutions and TDI Apps to the Event Pipeline.</w:t>
      </w:r>
    </w:p>
    <w:p w14:paraId="433C65C2" w14:textId="77777777" w:rsidR="00B71F72" w:rsidRPr="00B71F72" w:rsidRDefault="00B71F72" w:rsidP="00B71F72">
      <w:pPr>
        <w:numPr>
          <w:ilvl w:val="1"/>
          <w:numId w:val="3"/>
        </w:numPr>
      </w:pPr>
      <w:r w:rsidRPr="00B71F72">
        <w:t>Integrate Events to an Event Single Pane of Glass.</w:t>
      </w:r>
    </w:p>
    <w:p w14:paraId="7F18AE2C" w14:textId="77777777" w:rsidR="00B71F72" w:rsidRPr="00B71F72" w:rsidRDefault="00B71F72" w:rsidP="00B71F72">
      <w:pPr>
        <w:numPr>
          <w:ilvl w:val="1"/>
          <w:numId w:val="3"/>
        </w:numPr>
      </w:pPr>
      <w:r w:rsidRPr="00B71F72">
        <w:rPr>
          <w:b/>
          <w:bCs/>
        </w:rPr>
        <w:t>Book of Work Initiatives (2026):</w:t>
      </w:r>
    </w:p>
    <w:p w14:paraId="70DEC0FF" w14:textId="77777777" w:rsidR="00B71F72" w:rsidRPr="00B71F72" w:rsidRDefault="00B71F72" w:rsidP="00B71F72">
      <w:pPr>
        <w:numPr>
          <w:ilvl w:val="2"/>
          <w:numId w:val="3"/>
        </w:numPr>
      </w:pPr>
      <w:r w:rsidRPr="00B71F72">
        <w:rPr>
          <w:b/>
          <w:bCs/>
        </w:rPr>
        <w:t>Observability - Strategic Product on Hybrid Cloud:</w:t>
      </w:r>
      <w:r w:rsidRPr="00B71F72">
        <w:t xml:space="preserve"> Replacement of Nimsoft &amp; NRI, including Telemetry Data Pipelines, OTEL Agent R&amp;D, ITRS Analytics for dependency, </w:t>
      </w:r>
      <w:proofErr w:type="spellStart"/>
      <w:r w:rsidRPr="00B71F72">
        <w:t>Geneos</w:t>
      </w:r>
      <w:proofErr w:type="spellEnd"/>
      <w:r w:rsidRPr="00B71F72">
        <w:t xml:space="preserve"> 7 contract renewal with ITRS, and NRI replacement strategy.</w:t>
      </w:r>
    </w:p>
    <w:p w14:paraId="2C9EEFF2" w14:textId="77777777" w:rsidR="00B71F72" w:rsidRPr="00B71F72" w:rsidRDefault="00B71F72" w:rsidP="00B71F72">
      <w:pPr>
        <w:numPr>
          <w:ilvl w:val="2"/>
          <w:numId w:val="3"/>
        </w:numPr>
      </w:pPr>
      <w:r w:rsidRPr="00B71F72">
        <w:rPr>
          <w:b/>
          <w:bCs/>
        </w:rPr>
        <w:t>Decommissioning/Maintenance of Existing Platforms:</w:t>
      </w:r>
      <w:r w:rsidRPr="00B71F72">
        <w:t xml:space="preserve"> Efforts on </w:t>
      </w:r>
      <w:proofErr w:type="spellStart"/>
      <w:r w:rsidRPr="00B71F72">
        <w:t>dbMac</w:t>
      </w:r>
      <w:proofErr w:type="spellEnd"/>
      <w:r w:rsidRPr="00B71F72">
        <w:t>/SSO, Apptio Chargeback Optimization, technical approach to license consumption controls, automated maintenance requests for Nimsoft and Netcool.</w:t>
      </w:r>
    </w:p>
    <w:p w14:paraId="6867F3C0" w14:textId="77777777" w:rsidR="00B71F72" w:rsidRPr="00B71F72" w:rsidRDefault="00B71F72" w:rsidP="00B71F72">
      <w:pPr>
        <w:numPr>
          <w:ilvl w:val="2"/>
          <w:numId w:val="3"/>
        </w:numPr>
      </w:pPr>
      <w:r w:rsidRPr="00B71F72">
        <w:rPr>
          <w:b/>
          <w:bCs/>
        </w:rPr>
        <w:t>Automation Platforms Audit Deliverables:</w:t>
      </w:r>
      <w:r w:rsidRPr="00B71F72">
        <w:t> Remediation of Group Audit findings, database migration from Elasticsearch v7.x to V8.x and V9.x, Jenkins version updates and pipeline maintenance, Java Patching compliance.</w:t>
      </w:r>
    </w:p>
    <w:p w14:paraId="76FEE89C" w14:textId="77777777" w:rsidR="00B71F72" w:rsidRPr="00B71F72" w:rsidRDefault="00B71F72" w:rsidP="00B71F72">
      <w:pPr>
        <w:numPr>
          <w:ilvl w:val="0"/>
          <w:numId w:val="3"/>
        </w:numPr>
      </w:pPr>
      <w:r w:rsidRPr="00B71F72">
        <w:rPr>
          <w:b/>
          <w:bCs/>
        </w:rPr>
        <w:lastRenderedPageBreak/>
        <w:t>Architectural Changes:</w:t>
      </w:r>
      <w:r w:rsidRPr="00B71F72">
        <w:t> Introduction of a common data pipeline for event and telemetry data, alongside a common services data model (CSDM). All events will be consolidated into a single platform, improving event correlation for incident detection and enabling faster root cause analysis. This is expected to lead to reduced incidents and shorter outages. The Telemetry Pipeline Service will ingest, cleanse, transform, and route data.</w:t>
      </w:r>
    </w:p>
    <w:p w14:paraId="02050984" w14:textId="77777777" w:rsidR="00B71F72" w:rsidRDefault="00B71F72" w:rsidP="00B71F72">
      <w:bookmarkStart w:id="5" w:name="_Toc216103861"/>
      <w:r w:rsidRPr="00B71F72">
        <w:rPr>
          <w:rStyle w:val="Heading2Char"/>
        </w:rPr>
        <w:t>2.4. Target State</w:t>
      </w:r>
      <w:bookmarkEnd w:id="5"/>
      <w:r w:rsidRPr="00B71F72">
        <w:t> </w:t>
      </w:r>
    </w:p>
    <w:p w14:paraId="2C2E9D09" w14:textId="34AD939F" w:rsidR="00B71F72" w:rsidRPr="00B71F72" w:rsidRDefault="00B71F72" w:rsidP="00B71F72">
      <w:r w:rsidRPr="00B71F72">
        <w:t>The target state envisions an enterprise-wide, open standards-driven observability framework utilizing a Telemetry Pipeline and AIOps.</w:t>
      </w:r>
    </w:p>
    <w:p w14:paraId="134B3F8F" w14:textId="77777777" w:rsidR="00B71F72" w:rsidRPr="00B71F72" w:rsidRDefault="00B71F72" w:rsidP="00B71F72">
      <w:pPr>
        <w:numPr>
          <w:ilvl w:val="0"/>
          <w:numId w:val="4"/>
        </w:numPr>
      </w:pPr>
      <w:r w:rsidRPr="00B71F72">
        <w:rPr>
          <w:b/>
          <w:bCs/>
        </w:rPr>
        <w:t>Core Components:</w:t>
      </w:r>
    </w:p>
    <w:p w14:paraId="48D209E5" w14:textId="77777777" w:rsidR="00B71F72" w:rsidRPr="00B71F72" w:rsidRDefault="00B71F72" w:rsidP="00B71F72">
      <w:pPr>
        <w:numPr>
          <w:ilvl w:val="1"/>
          <w:numId w:val="4"/>
        </w:numPr>
      </w:pPr>
      <w:r w:rsidRPr="00B71F72">
        <w:rPr>
          <w:b/>
          <w:bCs/>
        </w:rPr>
        <w:t>Telemetry Pipeline &amp; AIOps:</w:t>
      </w:r>
      <w:r w:rsidRPr="00B71F72">
        <w:t> An enabler for AIOps, with CSDM-driven topology correlation and Agentic AI integrations with downstream observability platforms.</w:t>
      </w:r>
    </w:p>
    <w:p w14:paraId="3CD271D4" w14:textId="77777777" w:rsidR="00B71F72" w:rsidRPr="00B71F72" w:rsidRDefault="00B71F72" w:rsidP="00B71F72">
      <w:pPr>
        <w:numPr>
          <w:ilvl w:val="1"/>
          <w:numId w:val="4"/>
        </w:numPr>
      </w:pPr>
      <w:r w:rsidRPr="00B71F72">
        <w:rPr>
          <w:b/>
          <w:bCs/>
        </w:rPr>
        <w:t>Open Telemetry Collection:</w:t>
      </w:r>
      <w:r w:rsidRPr="00B71F72">
        <w:t xml:space="preserve"> Standardized collection from various sources (Application, Public Cloud, Private Cloud, Platform, Infrastructure). This includes Telemetry Collection Services responsible for secure collection of MELT data (Metrics, Events, Logs, Traces). Existing tools like Syslog, SNMP, </w:t>
      </w:r>
      <w:proofErr w:type="spellStart"/>
      <w:r w:rsidRPr="00B71F72">
        <w:t>gRPC</w:t>
      </w:r>
      <w:proofErr w:type="spellEnd"/>
      <w:r w:rsidRPr="00B71F72">
        <w:t>, OTLP, and agents will feed into this.</w:t>
      </w:r>
    </w:p>
    <w:p w14:paraId="7065B179" w14:textId="77777777" w:rsidR="00B71F72" w:rsidRPr="00B71F72" w:rsidRDefault="00B71F72" w:rsidP="00B71F72">
      <w:pPr>
        <w:numPr>
          <w:ilvl w:val="1"/>
          <w:numId w:val="4"/>
        </w:numPr>
      </w:pPr>
      <w:r w:rsidRPr="00B71F72">
        <w:rPr>
          <w:b/>
          <w:bCs/>
        </w:rPr>
        <w:t>Message Bus:</w:t>
      </w:r>
      <w:r w:rsidRPr="00B71F72">
        <w:t> A distributed, highly available publish-subscribe mechanism (e.g., Kafka) for data transit from collection services to the pipeline, optimized for real-time processing.</w:t>
      </w:r>
    </w:p>
    <w:p w14:paraId="08565889" w14:textId="77777777" w:rsidR="00B71F72" w:rsidRPr="00B71F72" w:rsidRDefault="00B71F72" w:rsidP="00B71F72">
      <w:pPr>
        <w:numPr>
          <w:ilvl w:val="1"/>
          <w:numId w:val="4"/>
        </w:numPr>
      </w:pPr>
      <w:r w:rsidRPr="00B71F72">
        <w:rPr>
          <w:b/>
          <w:bCs/>
        </w:rPr>
        <w:t>Telemetry Pipeline Service:</w:t>
      </w:r>
      <w:r w:rsidRPr="00B71F72">
        <w:t> Ingests, cleanses (filters, redacts, corrects, removes duplicates), transforms (normalizes, extracts, enriches), and routes data to the Event Management System and Centralized Telemetry Storage.</w:t>
      </w:r>
    </w:p>
    <w:p w14:paraId="738F30B2" w14:textId="77777777" w:rsidR="00B71F72" w:rsidRPr="00B71F72" w:rsidRDefault="00B71F72" w:rsidP="00B71F72">
      <w:pPr>
        <w:numPr>
          <w:ilvl w:val="1"/>
          <w:numId w:val="4"/>
        </w:numPr>
      </w:pPr>
      <w:r w:rsidRPr="00B71F72">
        <w:rPr>
          <w:b/>
          <w:bCs/>
        </w:rPr>
        <w:t>Telemetry Data Store:</w:t>
      </w:r>
      <w:r w:rsidRPr="00B71F72">
        <w:t> Must support all MELT data types, ingest at high speed, index large volumes, store multiple copies, be highly available, support fast querying, use compression, support encryption at rest, handle sensitive data, and have IDAM controls.</w:t>
      </w:r>
    </w:p>
    <w:p w14:paraId="574C0DF4" w14:textId="77777777" w:rsidR="00B71F72" w:rsidRPr="00B71F72" w:rsidRDefault="00B71F72" w:rsidP="00B71F72">
      <w:pPr>
        <w:numPr>
          <w:ilvl w:val="1"/>
          <w:numId w:val="4"/>
        </w:numPr>
      </w:pPr>
      <w:r w:rsidRPr="00B71F72">
        <w:rPr>
          <w:b/>
          <w:bCs/>
        </w:rPr>
        <w:t>Event Management Service:</w:t>
      </w:r>
      <w:r w:rsidRPr="00B71F72">
        <w:t xml:space="preserve"> Performs event correlation and root cause analysis (RCA) by </w:t>
      </w:r>
      <w:proofErr w:type="spellStart"/>
      <w:r w:rsidRPr="00B71F72">
        <w:t>analyzing</w:t>
      </w:r>
      <w:proofErr w:type="spellEnd"/>
      <w:r w:rsidRPr="00B71F72">
        <w:t xml:space="preserve"> events (alerts, logs, metrics) across systems to identify patterns and relationships, reducing noise and identifying actual problems. It also handles response selection, ranging from archiving to automated actions (e.g., incident tickets).</w:t>
      </w:r>
    </w:p>
    <w:p w14:paraId="1BC03C0F" w14:textId="77777777" w:rsidR="00B71F72" w:rsidRPr="00B71F72" w:rsidRDefault="00B71F72" w:rsidP="00B71F72">
      <w:pPr>
        <w:numPr>
          <w:ilvl w:val="1"/>
          <w:numId w:val="4"/>
        </w:numPr>
      </w:pPr>
      <w:r w:rsidRPr="00B71F72">
        <w:rPr>
          <w:b/>
          <w:bCs/>
        </w:rPr>
        <w:t>Observability Services:</w:t>
      </w:r>
      <w:r w:rsidRPr="00B71F72">
        <w:t xml:space="preserve"> Provides in-depth visibility into performance and availability across applications, infrastructure, and networks from all </w:t>
      </w:r>
      <w:r w:rsidRPr="00B71F72">
        <w:lastRenderedPageBreak/>
        <w:t>telemetry sources, facilitating detection of bottlenecks, resource constraints, and other problems. This includes dashboards for real-time analysis, bottleneck detection, topology-based relationship representation, and automated event creation from anomalies.</w:t>
      </w:r>
    </w:p>
    <w:p w14:paraId="38CCCCF0" w14:textId="77777777" w:rsidR="00B71F72" w:rsidRPr="00B71F72" w:rsidRDefault="00B71F72" w:rsidP="00B71F72">
      <w:pPr>
        <w:numPr>
          <w:ilvl w:val="1"/>
          <w:numId w:val="4"/>
        </w:numPr>
      </w:pPr>
      <w:r w:rsidRPr="00B71F72">
        <w:rPr>
          <w:b/>
          <w:bCs/>
        </w:rPr>
        <w:t>Pipeline Prep and Process:</w:t>
      </w:r>
      <w:r w:rsidRPr="00B71F72">
        <w:t> Data ingestion and initial processing.</w:t>
      </w:r>
    </w:p>
    <w:p w14:paraId="23DEE396" w14:textId="77777777" w:rsidR="00B71F72" w:rsidRPr="00B71F72" w:rsidRDefault="00B71F72" w:rsidP="00B71F72">
      <w:pPr>
        <w:numPr>
          <w:ilvl w:val="1"/>
          <w:numId w:val="4"/>
        </w:numPr>
      </w:pPr>
      <w:r w:rsidRPr="00B71F72">
        <w:rPr>
          <w:b/>
          <w:bCs/>
        </w:rPr>
        <w:t>AIOps &amp; Semantic Search Repository:</w:t>
      </w:r>
      <w:r w:rsidRPr="00B71F72">
        <w:t> Central components for intelligent analysis, correlation, and search.</w:t>
      </w:r>
    </w:p>
    <w:p w14:paraId="38CDC783" w14:textId="77777777" w:rsidR="00B71F72" w:rsidRPr="00B71F72" w:rsidRDefault="00B71F72" w:rsidP="00B71F72">
      <w:pPr>
        <w:numPr>
          <w:ilvl w:val="1"/>
          <w:numId w:val="4"/>
        </w:numPr>
      </w:pPr>
      <w:r w:rsidRPr="00B71F72">
        <w:rPr>
          <w:b/>
          <w:bCs/>
        </w:rPr>
        <w:t>Intelligent Pipeline Routing &amp; Open Telemetry Routing:</w:t>
      </w:r>
      <w:r w:rsidRPr="00B71F72">
        <w:t> Directs data to consumers based on needs.</w:t>
      </w:r>
    </w:p>
    <w:p w14:paraId="496BB425" w14:textId="77777777" w:rsidR="00B71F72" w:rsidRPr="00B71F72" w:rsidRDefault="00B71F72" w:rsidP="00B71F72">
      <w:pPr>
        <w:numPr>
          <w:ilvl w:val="0"/>
          <w:numId w:val="4"/>
        </w:numPr>
      </w:pPr>
      <w:r w:rsidRPr="00B71F72">
        <w:rPr>
          <w:b/>
          <w:bCs/>
        </w:rPr>
        <w:t>Benefits:</w:t>
      </w:r>
    </w:p>
    <w:p w14:paraId="43EADB30" w14:textId="77777777" w:rsidR="00B71F72" w:rsidRPr="00B71F72" w:rsidRDefault="00B71F72" w:rsidP="00B71F72">
      <w:pPr>
        <w:numPr>
          <w:ilvl w:val="1"/>
          <w:numId w:val="4"/>
        </w:numPr>
      </w:pPr>
      <w:r w:rsidRPr="00B71F72">
        <w:t>Single Pane of Glass for managing, diagnosing, and troubleshooting incidents (Agentic AI).</w:t>
      </w:r>
    </w:p>
    <w:p w14:paraId="23E7A1EC" w14:textId="77777777" w:rsidR="00B71F72" w:rsidRPr="00B71F72" w:rsidRDefault="00B71F72" w:rsidP="00B71F72">
      <w:pPr>
        <w:numPr>
          <w:ilvl w:val="1"/>
          <w:numId w:val="4"/>
        </w:numPr>
      </w:pPr>
      <w:r w:rsidRPr="00B71F72">
        <w:t>Predictive and preventative incident capabilities.</w:t>
      </w:r>
    </w:p>
    <w:p w14:paraId="083B9A47" w14:textId="77777777" w:rsidR="00B71F72" w:rsidRPr="00B71F72" w:rsidRDefault="00B71F72" w:rsidP="00B71F72">
      <w:pPr>
        <w:numPr>
          <w:ilvl w:val="1"/>
          <w:numId w:val="4"/>
        </w:numPr>
      </w:pPr>
      <w:r w:rsidRPr="00B71F72">
        <w:t>Rapid understanding of "Service &amp; Business Impact" (Blast Radius).</w:t>
      </w:r>
    </w:p>
    <w:p w14:paraId="719A4A77" w14:textId="77777777" w:rsidR="00B71F72" w:rsidRPr="00B71F72" w:rsidRDefault="00B71F72" w:rsidP="00B71F72">
      <w:pPr>
        <w:numPr>
          <w:ilvl w:val="1"/>
          <w:numId w:val="4"/>
        </w:numPr>
      </w:pPr>
      <w:r w:rsidRPr="00B71F72">
        <w:t xml:space="preserve">Reduced incidents and improved Mean Time </w:t>
      </w:r>
      <w:proofErr w:type="gramStart"/>
      <w:r w:rsidRPr="00B71F72">
        <w:t>To</w:t>
      </w:r>
      <w:proofErr w:type="gramEnd"/>
      <w:r w:rsidRPr="00B71F72">
        <w:t xml:space="preserve"> Resolve (MTTR).</w:t>
      </w:r>
    </w:p>
    <w:p w14:paraId="4727ABAB" w14:textId="77777777" w:rsidR="00B71F72" w:rsidRPr="00B71F72" w:rsidRDefault="00B71F72" w:rsidP="00B71F72">
      <w:pPr>
        <w:numPr>
          <w:ilvl w:val="1"/>
          <w:numId w:val="4"/>
        </w:numPr>
      </w:pPr>
      <w:r w:rsidRPr="00B71F72">
        <w:t>Reduced agent deployment and maintenance.</w:t>
      </w:r>
    </w:p>
    <w:p w14:paraId="57F1A373" w14:textId="77777777" w:rsidR="00B71F72" w:rsidRPr="00B71F72" w:rsidRDefault="00B71F72" w:rsidP="00B71F72">
      <w:pPr>
        <w:numPr>
          <w:ilvl w:val="1"/>
          <w:numId w:val="4"/>
        </w:numPr>
      </w:pPr>
      <w:r w:rsidRPr="00B71F72">
        <w:t>Instant view for incident management, accelerating incident resolution.</w:t>
      </w:r>
    </w:p>
    <w:p w14:paraId="6C1854EE" w14:textId="77777777" w:rsidR="00B71F72" w:rsidRPr="00B71F72" w:rsidRDefault="00B71F72" w:rsidP="00B71F72">
      <w:pPr>
        <w:numPr>
          <w:ilvl w:val="1"/>
          <w:numId w:val="4"/>
        </w:numPr>
      </w:pPr>
      <w:r w:rsidRPr="00B71F72">
        <w:t>Simplification of the monitoring agent estate, leading to reduced CPU consumption and lower license costs.</w:t>
      </w:r>
    </w:p>
    <w:p w14:paraId="7C7F2CB6" w14:textId="77777777" w:rsidR="00B71F72" w:rsidRPr="00B71F72" w:rsidRDefault="00B71F72" w:rsidP="00B71F72">
      <w:pPr>
        <w:numPr>
          <w:ilvl w:val="1"/>
          <w:numId w:val="4"/>
        </w:numPr>
      </w:pPr>
      <w:r w:rsidRPr="00B71F72">
        <w:t>Increased asset utilization through accurate usage information and forecasting.</w:t>
      </w:r>
    </w:p>
    <w:p w14:paraId="35E344DE" w14:textId="77777777" w:rsidR="00B71F72" w:rsidRPr="00B71F72" w:rsidRDefault="00B71F72" w:rsidP="00B71F72">
      <w:pPr>
        <w:numPr>
          <w:ilvl w:val="1"/>
          <w:numId w:val="4"/>
        </w:numPr>
      </w:pPr>
      <w:r w:rsidRPr="00B71F72">
        <w:t>Event Storm Reduction via AI analysis, improving incident response.</w:t>
      </w:r>
    </w:p>
    <w:p w14:paraId="6AD5D123" w14:textId="77777777" w:rsidR="00B71F72" w:rsidRPr="00B71F72" w:rsidRDefault="00B71F72" w:rsidP="00B71F72">
      <w:pPr>
        <w:numPr>
          <w:ilvl w:val="1"/>
          <w:numId w:val="4"/>
        </w:numPr>
      </w:pPr>
      <w:r w:rsidRPr="00B71F72">
        <w:t>Front-to-back view of system state for approved consumers and reliable application management.</w:t>
      </w:r>
    </w:p>
    <w:p w14:paraId="27C51969" w14:textId="77777777" w:rsidR="00B71F72" w:rsidRPr="00B71F72" w:rsidRDefault="00B71F72" w:rsidP="00B71F72">
      <w:pPr>
        <w:numPr>
          <w:ilvl w:val="1"/>
          <w:numId w:val="4"/>
        </w:numPr>
      </w:pPr>
      <w:r w:rsidRPr="00B71F72">
        <w:t>Automated filtering and redaction of logs, significantly reducing data leakage risk.</w:t>
      </w:r>
    </w:p>
    <w:p w14:paraId="4F6CA7FC" w14:textId="77777777" w:rsidR="00B71F72" w:rsidRPr="00B71F72" w:rsidRDefault="00B71F72" w:rsidP="00B71F72">
      <w:pPr>
        <w:pStyle w:val="Heading2"/>
      </w:pPr>
      <w:bookmarkStart w:id="6" w:name="_Toc216103862"/>
      <w:r w:rsidRPr="00B71F72">
        <w:t>2.5. Data Architecture (Key Principles)</w:t>
      </w:r>
      <w:bookmarkEnd w:id="6"/>
    </w:p>
    <w:p w14:paraId="16755C65" w14:textId="77777777" w:rsidR="00B71F72" w:rsidRPr="00B71F72" w:rsidRDefault="00B71F72" w:rsidP="00B71F72">
      <w:pPr>
        <w:numPr>
          <w:ilvl w:val="0"/>
          <w:numId w:val="5"/>
        </w:numPr>
      </w:pPr>
      <w:r w:rsidRPr="00B71F72">
        <w:rPr>
          <w:b/>
          <w:bCs/>
        </w:rPr>
        <w:t>Data Entities:</w:t>
      </w:r>
      <w:r w:rsidRPr="00B71F72">
        <w:t> Observability relies on Metrics, Events, Logs, and Traces (MELT). These provide quantifiable measurements, discrete actions, chronological records, and end-to-end request flows, respectively.</w:t>
      </w:r>
    </w:p>
    <w:p w14:paraId="2F664D1C" w14:textId="77777777" w:rsidR="00B71F72" w:rsidRPr="00B71F72" w:rsidRDefault="00B71F72" w:rsidP="00B71F72">
      <w:pPr>
        <w:numPr>
          <w:ilvl w:val="0"/>
          <w:numId w:val="5"/>
        </w:numPr>
      </w:pPr>
      <w:r w:rsidRPr="00B71F72">
        <w:rPr>
          <w:b/>
          <w:bCs/>
        </w:rPr>
        <w:lastRenderedPageBreak/>
        <w:t>Data Relationships:</w:t>
      </w:r>
      <w:r w:rsidRPr="00B71F72">
        <w:t> Defines how Configuration Items (CI) relate to MELT data, e.g., CI to Event (one-to-one), CI to Metric (one-to-many), CI to Log (one-to-one), CI to Trace (many-to-one).</w:t>
      </w:r>
    </w:p>
    <w:p w14:paraId="02A8EA6A" w14:textId="77777777" w:rsidR="00B71F72" w:rsidRPr="00B71F72" w:rsidRDefault="00B71F72" w:rsidP="00B71F72">
      <w:pPr>
        <w:numPr>
          <w:ilvl w:val="0"/>
          <w:numId w:val="5"/>
        </w:numPr>
      </w:pPr>
      <w:r w:rsidRPr="00B71F72">
        <w:rPr>
          <w:b/>
          <w:bCs/>
        </w:rPr>
        <w:t>Data Attributes:</w:t>
      </w:r>
      <w:r w:rsidRPr="00B71F72">
        <w:t> Standardized attributes for Metrics (Timestamp, CI Name, Metric Name, Value), Events (Timestamp, Event Message, Severity), and Logs (Timestamp, Message/Payload, Log level/Severity). Traces include Trace ID, Span Identifier, Root span, Parent-Child Relationships, and key-value pairs.</w:t>
      </w:r>
    </w:p>
    <w:p w14:paraId="2535A3AD" w14:textId="77777777" w:rsidR="00B71F72" w:rsidRPr="00B71F72" w:rsidRDefault="00B71F72" w:rsidP="00B71F72">
      <w:pPr>
        <w:numPr>
          <w:ilvl w:val="0"/>
          <w:numId w:val="5"/>
        </w:numPr>
      </w:pPr>
      <w:r w:rsidRPr="00B71F72">
        <w:rPr>
          <w:b/>
          <w:bCs/>
        </w:rPr>
        <w:t>Data Lifecycle Management:</w:t>
      </w:r>
      <w:r w:rsidRPr="00B71F72">
        <w:t> Focuses on managing telemetry data from generation to deletion, including collection, processing, enrichment, storage, visualization, retention, and archival.</w:t>
      </w:r>
    </w:p>
    <w:p w14:paraId="15D4DC0D" w14:textId="77777777" w:rsidR="00B71F72" w:rsidRPr="00B71F72" w:rsidRDefault="00B71F72" w:rsidP="00B71F72">
      <w:pPr>
        <w:numPr>
          <w:ilvl w:val="0"/>
          <w:numId w:val="5"/>
        </w:numPr>
      </w:pPr>
      <w:r w:rsidRPr="00B71F72">
        <w:rPr>
          <w:b/>
          <w:bCs/>
        </w:rPr>
        <w:t>Data Governance:</w:t>
      </w:r>
      <w:r w:rsidRPr="00B71F72">
        <w:t xml:space="preserve"> Ensures visibility of data </w:t>
      </w:r>
      <w:proofErr w:type="spellStart"/>
      <w:r w:rsidRPr="00B71F72">
        <w:t>behavior</w:t>
      </w:r>
      <w:proofErr w:type="spellEnd"/>
      <w:r w:rsidRPr="00B71F72">
        <w:t>, policy enforcement, and issue tracing, covering availability, integrity, usability, and security. This includes data retention policies for compliance and business needs.</w:t>
      </w:r>
    </w:p>
    <w:p w14:paraId="220A8BAF" w14:textId="77777777" w:rsidR="00B71F72" w:rsidRPr="00B71F72" w:rsidRDefault="00B71F72" w:rsidP="00B71F72">
      <w:pPr>
        <w:numPr>
          <w:ilvl w:val="0"/>
          <w:numId w:val="5"/>
        </w:numPr>
      </w:pPr>
      <w:r w:rsidRPr="00B71F72">
        <w:rPr>
          <w:b/>
          <w:bCs/>
        </w:rPr>
        <w:t>Data Security and Privacy:</w:t>
      </w:r>
      <w:r w:rsidRPr="00B71F72">
        <w:t> Employs encryption (at rest, in use, in transit, end-to-end) and follows privacy/security best practices for sharing data. Rules-based access controls (RBAC), secure channels, and audit trails are essential.</w:t>
      </w:r>
    </w:p>
    <w:p w14:paraId="099D6B74" w14:textId="77777777" w:rsidR="00B71F72" w:rsidRPr="00B71F72" w:rsidRDefault="00B71F72" w:rsidP="00B71F72">
      <w:pPr>
        <w:numPr>
          <w:ilvl w:val="0"/>
          <w:numId w:val="5"/>
        </w:numPr>
      </w:pPr>
      <w:r w:rsidRPr="00B71F72">
        <w:rPr>
          <w:b/>
          <w:bCs/>
        </w:rPr>
        <w:t>Data Quality:</w:t>
      </w:r>
      <w:r w:rsidRPr="00B71F72">
        <w:t> Critical for preventing false alerts and missed incidents. Key dimensions include accuracy, completeness, and timeliness.</w:t>
      </w:r>
    </w:p>
    <w:p w14:paraId="7730016D" w14:textId="77777777" w:rsidR="00B71F72" w:rsidRPr="00B71F72" w:rsidRDefault="00000000" w:rsidP="00B71F72">
      <w:r>
        <w:pict w14:anchorId="3EBD8D95">
          <v:rect id="_x0000_i1027" style="width:0;height:1.5pt" o:hrstd="t" o:hr="t" fillcolor="#a0a0a0" stroked="f"/>
        </w:pict>
      </w:r>
    </w:p>
    <w:p w14:paraId="3C8BE209" w14:textId="77777777" w:rsidR="00B71F72" w:rsidRDefault="00B71F72">
      <w:pPr>
        <w:rPr>
          <w:b/>
          <w:bCs/>
        </w:rPr>
      </w:pPr>
      <w:r>
        <w:rPr>
          <w:b/>
          <w:bCs/>
        </w:rPr>
        <w:br w:type="page"/>
      </w:r>
    </w:p>
    <w:p w14:paraId="07B3ACF6" w14:textId="18EC4E7D" w:rsidR="00B71F72" w:rsidRPr="00B71F72" w:rsidRDefault="00B71F72" w:rsidP="00B71F72">
      <w:pPr>
        <w:pStyle w:val="Heading1"/>
      </w:pPr>
      <w:bookmarkStart w:id="7" w:name="_Toc216103863"/>
      <w:r w:rsidRPr="00B71F72">
        <w:lastRenderedPageBreak/>
        <w:t>3. Capacity Management Strategy</w:t>
      </w:r>
      <w:bookmarkEnd w:id="7"/>
    </w:p>
    <w:p w14:paraId="12FEFE4F" w14:textId="77777777" w:rsidR="00B71F72" w:rsidRPr="00B71F72" w:rsidRDefault="00B71F72" w:rsidP="00B71F72">
      <w:pPr>
        <w:pStyle w:val="Heading2"/>
      </w:pPr>
      <w:bookmarkStart w:id="8" w:name="_Toc216103864"/>
      <w:r w:rsidRPr="00B71F72">
        <w:t>3.1. Current State</w:t>
      </w:r>
      <w:bookmarkEnd w:id="8"/>
    </w:p>
    <w:p w14:paraId="5B6EE53A" w14:textId="77777777" w:rsidR="00B71F72" w:rsidRPr="00B71F72" w:rsidRDefault="00B71F72" w:rsidP="00B71F72">
      <w:pPr>
        <w:numPr>
          <w:ilvl w:val="0"/>
          <w:numId w:val="6"/>
        </w:numPr>
      </w:pPr>
      <w:r w:rsidRPr="00B71F72">
        <w:rPr>
          <w:b/>
          <w:bCs/>
        </w:rPr>
        <w:t>BMC TSCO:</w:t>
      </w:r>
      <w:r w:rsidRPr="00B71F72">
        <w:t> Currently the Capacity Management solution.</w:t>
      </w:r>
    </w:p>
    <w:p w14:paraId="485CDBAE" w14:textId="77777777" w:rsidR="00B71F72" w:rsidRPr="00B71F72" w:rsidRDefault="00B71F72" w:rsidP="00B71F72">
      <w:pPr>
        <w:numPr>
          <w:ilvl w:val="0"/>
          <w:numId w:val="6"/>
        </w:numPr>
      </w:pPr>
      <w:r w:rsidRPr="00B71F72">
        <w:rPr>
          <w:b/>
          <w:bCs/>
        </w:rPr>
        <w:t>EOL Date:</w:t>
      </w:r>
      <w:r w:rsidRPr="00B71F72">
        <w:t> BMC TSCO reaches End-of-Life in Q1 2027.</w:t>
      </w:r>
    </w:p>
    <w:p w14:paraId="2D64747C" w14:textId="77777777" w:rsidR="00B71F72" w:rsidRPr="00B71F72" w:rsidRDefault="00B71F72" w:rsidP="00B71F72">
      <w:pPr>
        <w:numPr>
          <w:ilvl w:val="0"/>
          <w:numId w:val="6"/>
        </w:numPr>
      </w:pPr>
      <w:r w:rsidRPr="00B71F72">
        <w:rPr>
          <w:b/>
          <w:bCs/>
        </w:rPr>
        <w:t>Replacement:</w:t>
      </w:r>
      <w:r w:rsidRPr="00B71F72">
        <w:t> To be replaced by BMC BHCO.</w:t>
      </w:r>
    </w:p>
    <w:p w14:paraId="01D57D76" w14:textId="77777777" w:rsidR="00B71F72" w:rsidRPr="00B71F72" w:rsidRDefault="00B71F72" w:rsidP="00B71F72">
      <w:pPr>
        <w:numPr>
          <w:ilvl w:val="0"/>
          <w:numId w:val="6"/>
        </w:numPr>
      </w:pPr>
      <w:r w:rsidRPr="00B71F72">
        <w:rPr>
          <w:b/>
          <w:bCs/>
        </w:rPr>
        <w:t>Hybrid Cloud Integration:</w:t>
      </w:r>
      <w:r w:rsidRPr="00B71F72">
        <w:t> Future demand from Hybrid Cloud can technically be integrated into TSCO.</w:t>
      </w:r>
    </w:p>
    <w:p w14:paraId="763AC51F" w14:textId="77777777" w:rsidR="00B71F72" w:rsidRPr="00B71F72" w:rsidRDefault="00B71F72" w:rsidP="00B71F72">
      <w:pPr>
        <w:pStyle w:val="Heading2"/>
      </w:pPr>
      <w:bookmarkStart w:id="9" w:name="_Toc216103865"/>
      <w:r w:rsidRPr="00B71F72">
        <w:t>3.2. Challenges</w:t>
      </w:r>
      <w:bookmarkEnd w:id="9"/>
    </w:p>
    <w:p w14:paraId="47A92B60" w14:textId="77777777" w:rsidR="00B71F72" w:rsidRPr="00B71F72" w:rsidRDefault="00B71F72" w:rsidP="00B71F72">
      <w:pPr>
        <w:numPr>
          <w:ilvl w:val="0"/>
          <w:numId w:val="7"/>
        </w:numPr>
      </w:pPr>
      <w:r w:rsidRPr="00B71F72">
        <w:rPr>
          <w:b/>
          <w:bCs/>
        </w:rPr>
        <w:t>Migration Complexity:</w:t>
      </w:r>
      <w:r w:rsidRPr="00B71F72">
        <w:t> No simple migration path to BHCO; it's a transformation.</w:t>
      </w:r>
    </w:p>
    <w:p w14:paraId="3FF1EF0C" w14:textId="77777777" w:rsidR="00B71F72" w:rsidRPr="00B71F72" w:rsidRDefault="00B71F72" w:rsidP="00B71F72">
      <w:pPr>
        <w:numPr>
          <w:ilvl w:val="0"/>
          <w:numId w:val="7"/>
        </w:numPr>
      </w:pPr>
      <w:r w:rsidRPr="00B71F72">
        <w:rPr>
          <w:b/>
          <w:bCs/>
        </w:rPr>
        <w:t>Cost:</w:t>
      </w:r>
      <w:r w:rsidRPr="00B71F72">
        <w:t> Approximately €3 million to transform to BHCO.</w:t>
      </w:r>
    </w:p>
    <w:p w14:paraId="3F6C6BC9" w14:textId="77777777" w:rsidR="00B71F72" w:rsidRPr="00B71F72" w:rsidRDefault="00B71F72" w:rsidP="00B71F72">
      <w:pPr>
        <w:numPr>
          <w:ilvl w:val="0"/>
          <w:numId w:val="7"/>
        </w:numPr>
      </w:pPr>
      <w:r w:rsidRPr="00B71F72">
        <w:rPr>
          <w:b/>
          <w:bCs/>
        </w:rPr>
        <w:t>License Costs:</w:t>
      </w:r>
      <w:r w:rsidRPr="00B71F72">
        <w:t> Risk of increased license costs.</w:t>
      </w:r>
    </w:p>
    <w:p w14:paraId="3D6FE259" w14:textId="77777777" w:rsidR="00B71F72" w:rsidRPr="00B71F72" w:rsidRDefault="00B71F72" w:rsidP="00B71F72">
      <w:pPr>
        <w:numPr>
          <w:ilvl w:val="0"/>
          <w:numId w:val="7"/>
        </w:numPr>
      </w:pPr>
      <w:r w:rsidRPr="00B71F72">
        <w:rPr>
          <w:b/>
          <w:bCs/>
        </w:rPr>
        <w:t>Funding:</w:t>
      </w:r>
      <w:r w:rsidRPr="00B71F72">
        <w:t> No approved IG Funding for 2026.</w:t>
      </w:r>
    </w:p>
    <w:p w14:paraId="084B527E" w14:textId="77777777" w:rsidR="00B71F72" w:rsidRPr="00B71F72" w:rsidRDefault="00B71F72" w:rsidP="00B71F72">
      <w:pPr>
        <w:pStyle w:val="Heading2"/>
      </w:pPr>
      <w:bookmarkStart w:id="10" w:name="_Toc216103866"/>
      <w:r w:rsidRPr="00B71F72">
        <w:t>3.3. Strategic Options</w:t>
      </w:r>
      <w:bookmarkEnd w:id="10"/>
    </w:p>
    <w:p w14:paraId="4CA85D4D" w14:textId="77777777" w:rsidR="00B71F72" w:rsidRPr="00B71F72" w:rsidRDefault="00B71F72" w:rsidP="00B71F72">
      <w:pPr>
        <w:numPr>
          <w:ilvl w:val="0"/>
          <w:numId w:val="8"/>
        </w:numPr>
      </w:pPr>
      <w:r w:rsidRPr="00B71F72">
        <w:rPr>
          <w:b/>
          <w:bCs/>
        </w:rPr>
        <w:t>Build Our Own Solution:</w:t>
      </w:r>
    </w:p>
    <w:p w14:paraId="72102F48" w14:textId="77777777" w:rsidR="00B71F72" w:rsidRPr="00B71F72" w:rsidRDefault="00B71F72" w:rsidP="00B71F72">
      <w:pPr>
        <w:numPr>
          <w:ilvl w:val="1"/>
          <w:numId w:val="8"/>
        </w:numPr>
      </w:pPr>
      <w:r w:rsidRPr="00B71F72">
        <w:rPr>
          <w:b/>
          <w:bCs/>
        </w:rPr>
        <w:t>Pros:</w:t>
      </w:r>
      <w:r w:rsidRPr="00B71F72">
        <w:t> Lower build cost (with limited requirements), tailored to DB's needs, avoids vendor lock-in.</w:t>
      </w:r>
    </w:p>
    <w:p w14:paraId="71F2D4F7" w14:textId="77777777" w:rsidR="00B71F72" w:rsidRPr="00B71F72" w:rsidRDefault="00B71F72" w:rsidP="00B71F72">
      <w:pPr>
        <w:numPr>
          <w:ilvl w:val="1"/>
          <w:numId w:val="8"/>
        </w:numPr>
      </w:pPr>
      <w:r w:rsidRPr="00B71F72">
        <w:rPr>
          <w:b/>
          <w:bCs/>
        </w:rPr>
        <w:t>Cons:</w:t>
      </w:r>
      <w:r w:rsidRPr="00B71F72">
        <w:t> Bank retains supportability, likely functional limitations, challenging timeline management.</w:t>
      </w:r>
    </w:p>
    <w:p w14:paraId="0BE0F2A8" w14:textId="77777777" w:rsidR="00B71F72" w:rsidRPr="00B71F72" w:rsidRDefault="00B71F72" w:rsidP="00B71F72">
      <w:pPr>
        <w:numPr>
          <w:ilvl w:val="0"/>
          <w:numId w:val="8"/>
        </w:numPr>
      </w:pPr>
      <w:r w:rsidRPr="00B71F72">
        <w:rPr>
          <w:b/>
          <w:bCs/>
        </w:rPr>
        <w:t>Transform to BMC Alternative (BHCO):</w:t>
      </w:r>
    </w:p>
    <w:p w14:paraId="4FC9D24D" w14:textId="77777777" w:rsidR="00B71F72" w:rsidRPr="00B71F72" w:rsidRDefault="00B71F72" w:rsidP="00B71F72">
      <w:pPr>
        <w:numPr>
          <w:ilvl w:val="1"/>
          <w:numId w:val="8"/>
        </w:numPr>
      </w:pPr>
      <w:r w:rsidRPr="00B71F72">
        <w:rPr>
          <w:b/>
          <w:bCs/>
        </w:rPr>
        <w:t>Pros:</w:t>
      </w:r>
      <w:r w:rsidRPr="00B71F72">
        <w:t> Vendor-supported professional services, similar look and feel to current tools, maintains current capabilities.</w:t>
      </w:r>
    </w:p>
    <w:p w14:paraId="0C95A174" w14:textId="77777777" w:rsidR="00B71F72" w:rsidRPr="00B71F72" w:rsidRDefault="00B71F72" w:rsidP="00B71F72">
      <w:pPr>
        <w:numPr>
          <w:ilvl w:val="1"/>
          <w:numId w:val="8"/>
        </w:numPr>
      </w:pPr>
      <w:r w:rsidRPr="00B71F72">
        <w:rPr>
          <w:b/>
          <w:bCs/>
        </w:rPr>
        <w:t>Cons:</w:t>
      </w:r>
      <w:r w:rsidRPr="00B71F72">
        <w:t xml:space="preserve"> High cost (€3m) difficult to justify against benefit, vendor </w:t>
      </w:r>
      <w:proofErr w:type="spellStart"/>
      <w:r w:rsidRPr="00B71F72">
        <w:t>behavior</w:t>
      </w:r>
      <w:proofErr w:type="spellEnd"/>
      <w:r w:rsidRPr="00B71F72">
        <w:t xml:space="preserve"> not challenged, migration is a significant transformation.</w:t>
      </w:r>
    </w:p>
    <w:p w14:paraId="635F8B92" w14:textId="77777777" w:rsidR="00B71F72" w:rsidRPr="00B71F72" w:rsidRDefault="00B71F72" w:rsidP="00B71F72">
      <w:pPr>
        <w:numPr>
          <w:ilvl w:val="0"/>
          <w:numId w:val="8"/>
        </w:numPr>
      </w:pPr>
      <w:r w:rsidRPr="00B71F72">
        <w:rPr>
          <w:b/>
          <w:bCs/>
        </w:rPr>
        <w:t>Run TSCO (Unsupported):</w:t>
      </w:r>
    </w:p>
    <w:p w14:paraId="637A553A" w14:textId="77777777" w:rsidR="00B71F72" w:rsidRPr="00B71F72" w:rsidRDefault="00B71F72" w:rsidP="00B71F72">
      <w:pPr>
        <w:numPr>
          <w:ilvl w:val="1"/>
          <w:numId w:val="8"/>
        </w:numPr>
      </w:pPr>
      <w:r w:rsidRPr="00B71F72">
        <w:rPr>
          <w:b/>
          <w:bCs/>
        </w:rPr>
        <w:t>Pros:</w:t>
      </w:r>
      <w:r w:rsidRPr="00B71F72">
        <w:t> Zero cost due to perpetual licenses, low risk to business services.</w:t>
      </w:r>
    </w:p>
    <w:p w14:paraId="67246F34" w14:textId="77777777" w:rsidR="00B71F72" w:rsidRPr="00B71F72" w:rsidRDefault="00B71F72" w:rsidP="00B71F72">
      <w:pPr>
        <w:numPr>
          <w:ilvl w:val="1"/>
          <w:numId w:val="8"/>
        </w:numPr>
      </w:pPr>
      <w:r w:rsidRPr="00B71F72">
        <w:rPr>
          <w:b/>
          <w:bCs/>
        </w:rPr>
        <w:t>Cons:</w:t>
      </w:r>
      <w:r w:rsidRPr="00B71F72">
        <w:t> Requires risk acceptance for running in production without support.</w:t>
      </w:r>
    </w:p>
    <w:p w14:paraId="7BCB159F" w14:textId="77777777" w:rsidR="00B71F72" w:rsidRPr="00B71F72" w:rsidRDefault="00B71F72" w:rsidP="00B71F72">
      <w:pPr>
        <w:numPr>
          <w:ilvl w:val="0"/>
          <w:numId w:val="8"/>
        </w:numPr>
      </w:pPr>
      <w:r w:rsidRPr="00B71F72">
        <w:rPr>
          <w:b/>
          <w:bCs/>
        </w:rPr>
        <w:t>Go to Market (RFI &amp; RFP):</w:t>
      </w:r>
    </w:p>
    <w:p w14:paraId="39097F01" w14:textId="77777777" w:rsidR="00B71F72" w:rsidRPr="00B71F72" w:rsidRDefault="00B71F72" w:rsidP="00B71F72">
      <w:pPr>
        <w:numPr>
          <w:ilvl w:val="1"/>
          <w:numId w:val="8"/>
        </w:numPr>
      </w:pPr>
      <w:r w:rsidRPr="00B71F72">
        <w:rPr>
          <w:b/>
          <w:bCs/>
        </w:rPr>
        <w:lastRenderedPageBreak/>
        <w:t>Pros:</w:t>
      </w:r>
      <w:r w:rsidRPr="00B71F72">
        <w:t> Opportunity to re-evaluate the market for enhanced capabilities at lower cost.</w:t>
      </w:r>
    </w:p>
    <w:p w14:paraId="3C5A2826" w14:textId="77777777" w:rsidR="00B71F72" w:rsidRPr="00B71F72" w:rsidRDefault="00B71F72" w:rsidP="00B71F72">
      <w:pPr>
        <w:numPr>
          <w:ilvl w:val="1"/>
          <w:numId w:val="8"/>
        </w:numPr>
      </w:pPr>
      <w:r w:rsidRPr="00B71F72">
        <w:rPr>
          <w:b/>
          <w:bCs/>
        </w:rPr>
        <w:t>Cons:</w:t>
      </w:r>
      <w:r w:rsidRPr="00B71F72">
        <w:t> Unlikely to complete RFI, RFP, and deployment within the 14-month timeframe, limited solutions in the marketplace (IBM and Dynatrace already discounted).</w:t>
      </w:r>
    </w:p>
    <w:p w14:paraId="2D1DFF9B" w14:textId="77777777" w:rsidR="00B71F72" w:rsidRDefault="00B71F72" w:rsidP="00B71F72">
      <w:bookmarkStart w:id="11" w:name="_Toc216103867"/>
      <w:r w:rsidRPr="00B71F72">
        <w:rPr>
          <w:rStyle w:val="Heading2Char"/>
        </w:rPr>
        <w:t>3.4. Timelines and Milestones - Capacity Management</w:t>
      </w:r>
      <w:bookmarkEnd w:id="11"/>
      <w:r w:rsidRPr="00B71F72">
        <w:t> </w:t>
      </w:r>
    </w:p>
    <w:p w14:paraId="69C30B06" w14:textId="6AB49751" w:rsidR="00B71F72" w:rsidRPr="00B71F72" w:rsidRDefault="00B71F72" w:rsidP="00B71F72">
      <w:r w:rsidRPr="00B71F72">
        <w:t>The strategy for Capacity Management will be agreed upon by Q3 2026, with secure funding by Q4 2026 and implementation of a strategic solution expected to deliver a solution by Q3 2027, before TSCO goes out of support in Q4 2027.</w:t>
      </w:r>
    </w:p>
    <w:p w14:paraId="7A8AE17C" w14:textId="77777777" w:rsidR="00B71F72" w:rsidRPr="00B71F72" w:rsidRDefault="00B71F72" w:rsidP="00B71F72">
      <w:pPr>
        <w:numPr>
          <w:ilvl w:val="0"/>
          <w:numId w:val="9"/>
        </w:numPr>
      </w:pPr>
      <w:r w:rsidRPr="00B71F72">
        <w:rPr>
          <w:b/>
          <w:bCs/>
        </w:rPr>
        <w:t>2026 Book of Work Initiatives:</w:t>
      </w:r>
    </w:p>
    <w:p w14:paraId="3CF93900" w14:textId="77777777" w:rsidR="00B71F72" w:rsidRPr="00B71F72" w:rsidRDefault="00B71F72" w:rsidP="00B71F72">
      <w:pPr>
        <w:numPr>
          <w:ilvl w:val="1"/>
          <w:numId w:val="9"/>
        </w:numPr>
      </w:pPr>
      <w:r w:rsidRPr="00B71F72">
        <w:rPr>
          <w:b/>
          <w:bCs/>
        </w:rPr>
        <w:t>Capacity Management - Strategic Tool in Place March 2027:</w:t>
      </w:r>
      <w:r w:rsidRPr="00B71F72">
        <w:t> This includes TSCO replacement due to EOL, funding and technical approach decisions, SDLC/NAR enablement, deployment, and eventual decommissioning of TSCO. Process improvements for Capacity Management are also planned.</w:t>
      </w:r>
    </w:p>
    <w:p w14:paraId="400C7EA8" w14:textId="77777777" w:rsidR="00B71F72" w:rsidRPr="00B71F72" w:rsidRDefault="00000000" w:rsidP="00B71F72">
      <w:r>
        <w:pict w14:anchorId="08ED6BC4">
          <v:rect id="_x0000_i1028" style="width:0;height:1.5pt" o:hrstd="t" o:hr="t" fillcolor="#a0a0a0" stroked="f"/>
        </w:pict>
      </w:r>
    </w:p>
    <w:p w14:paraId="7549A192" w14:textId="77777777" w:rsidR="00B71F72" w:rsidRDefault="00B71F72">
      <w:pPr>
        <w:rPr>
          <w:b/>
          <w:bCs/>
        </w:rPr>
      </w:pPr>
      <w:r>
        <w:rPr>
          <w:b/>
          <w:bCs/>
        </w:rPr>
        <w:br w:type="page"/>
      </w:r>
    </w:p>
    <w:p w14:paraId="3A63BBB6" w14:textId="5D6B37D4" w:rsidR="00B71F72" w:rsidRPr="00B71F72" w:rsidRDefault="00B71F72" w:rsidP="00B71F72">
      <w:pPr>
        <w:pStyle w:val="Heading1"/>
      </w:pPr>
      <w:bookmarkStart w:id="12" w:name="_Toc216103868"/>
      <w:r w:rsidRPr="00B71F72">
        <w:lastRenderedPageBreak/>
        <w:t>4. Hybrid Cloud Readiness</w:t>
      </w:r>
      <w:bookmarkEnd w:id="12"/>
    </w:p>
    <w:p w14:paraId="1F25164D" w14:textId="77777777" w:rsidR="00B71F72" w:rsidRPr="00B71F72" w:rsidRDefault="00B71F72" w:rsidP="00B71F72">
      <w:pPr>
        <w:numPr>
          <w:ilvl w:val="0"/>
          <w:numId w:val="10"/>
        </w:numPr>
      </w:pPr>
      <w:r w:rsidRPr="00B71F72">
        <w:rPr>
          <w:b/>
          <w:bCs/>
        </w:rPr>
        <w:t>VMs:</w:t>
      </w:r>
      <w:r w:rsidRPr="00B71F72">
        <w:t> Traditional VMs will be used.</w:t>
      </w:r>
    </w:p>
    <w:p w14:paraId="6CD55200" w14:textId="77777777" w:rsidR="00B71F72" w:rsidRPr="00B71F72" w:rsidRDefault="00B71F72" w:rsidP="00B71F72">
      <w:pPr>
        <w:numPr>
          <w:ilvl w:val="0"/>
          <w:numId w:val="10"/>
        </w:numPr>
      </w:pPr>
      <w:r w:rsidRPr="00B71F72">
        <w:rPr>
          <w:b/>
          <w:bCs/>
        </w:rPr>
        <w:t>Nimsoft Agents:</w:t>
      </w:r>
      <w:r w:rsidRPr="00B71F72">
        <w:t> To be deployed with VMs.</w:t>
      </w:r>
    </w:p>
    <w:p w14:paraId="4EB7B586" w14:textId="77777777" w:rsidR="00B71F72" w:rsidRPr="00B71F72" w:rsidRDefault="00B71F72" w:rsidP="00B71F72">
      <w:pPr>
        <w:numPr>
          <w:ilvl w:val="0"/>
          <w:numId w:val="10"/>
        </w:numPr>
      </w:pPr>
      <w:proofErr w:type="spellStart"/>
      <w:r w:rsidRPr="00B71F72">
        <w:rPr>
          <w:b/>
          <w:bCs/>
        </w:rPr>
        <w:t>dbPerfmon</w:t>
      </w:r>
      <w:proofErr w:type="spellEnd"/>
      <w:r w:rsidRPr="00B71F72">
        <w:rPr>
          <w:b/>
          <w:bCs/>
        </w:rPr>
        <w:t>:</w:t>
      </w:r>
      <w:r w:rsidRPr="00B71F72">
        <w:t> Available to observe Performance timeseries metrics.</w:t>
      </w:r>
    </w:p>
    <w:p w14:paraId="78BBA254" w14:textId="77777777" w:rsidR="00B71F72" w:rsidRPr="00B71F72" w:rsidRDefault="00B71F72" w:rsidP="00B71F72">
      <w:pPr>
        <w:numPr>
          <w:ilvl w:val="0"/>
          <w:numId w:val="10"/>
        </w:numPr>
      </w:pPr>
      <w:r w:rsidRPr="00B71F72">
        <w:rPr>
          <w:b/>
          <w:bCs/>
        </w:rPr>
        <w:t>Monitoring &amp; Notification:</w:t>
      </w:r>
      <w:r w:rsidRPr="00B71F72">
        <w:t> Via Netcool.</w:t>
      </w:r>
    </w:p>
    <w:p w14:paraId="514F69C0" w14:textId="77777777" w:rsidR="00B71F72" w:rsidRPr="00B71F72" w:rsidRDefault="00B71F72" w:rsidP="00B71F72">
      <w:pPr>
        <w:numPr>
          <w:ilvl w:val="0"/>
          <w:numId w:val="10"/>
        </w:numPr>
      </w:pPr>
      <w:r w:rsidRPr="00B71F72">
        <w:rPr>
          <w:b/>
          <w:bCs/>
        </w:rPr>
        <w:t>2026 Book of Work Initiatives:</w:t>
      </w:r>
    </w:p>
    <w:p w14:paraId="6E98C0B1" w14:textId="77777777" w:rsidR="00B71F72" w:rsidRPr="00B71F72" w:rsidRDefault="00B71F72" w:rsidP="00B71F72">
      <w:pPr>
        <w:numPr>
          <w:ilvl w:val="1"/>
          <w:numId w:val="10"/>
        </w:numPr>
      </w:pPr>
      <w:r w:rsidRPr="00B71F72">
        <w:rPr>
          <w:b/>
          <w:bCs/>
        </w:rPr>
        <w:t xml:space="preserve">Observability - Strategic Product </w:t>
      </w:r>
      <w:proofErr w:type="gramStart"/>
      <w:r w:rsidRPr="00B71F72">
        <w:rPr>
          <w:b/>
          <w:bCs/>
        </w:rPr>
        <w:t>On</w:t>
      </w:r>
      <w:proofErr w:type="gramEnd"/>
      <w:r w:rsidRPr="00B71F72">
        <w:rPr>
          <w:b/>
          <w:bCs/>
        </w:rPr>
        <w:t xml:space="preserve"> Hybrid Cloud: Replacement Nimsoft &amp; NRI:</w:t>
      </w:r>
      <w:r w:rsidRPr="00B71F72">
        <w:t> Focus on Private Cloud Observability and On-prem Observability, including NRIA deployment strategies, pipeline for config management and agent upgrade, migration of policies using Terraform, and addressing data privacy obligations for NR deployment.</w:t>
      </w:r>
    </w:p>
    <w:p w14:paraId="75252D40" w14:textId="77777777" w:rsidR="00B71F72" w:rsidRPr="00B71F72" w:rsidRDefault="00B71F72" w:rsidP="00B71F72">
      <w:pPr>
        <w:numPr>
          <w:ilvl w:val="1"/>
          <w:numId w:val="10"/>
        </w:numPr>
      </w:pPr>
      <w:r w:rsidRPr="00B71F72">
        <w:rPr>
          <w:b/>
          <w:bCs/>
        </w:rPr>
        <w:t>New Relic Initiatives:</w:t>
      </w:r>
      <w:r w:rsidRPr="00B71F72">
        <w:t xml:space="preserve"> Sub-account cost monitoring/management, MS Teams &amp; NR Integration, Scorecard, </w:t>
      </w:r>
      <w:proofErr w:type="spellStart"/>
      <w:r w:rsidRPr="00B71F72">
        <w:t>Codestream</w:t>
      </w:r>
      <w:proofErr w:type="spellEnd"/>
      <w:r w:rsidRPr="00B71F72">
        <w:t xml:space="preserve"> IDE plugin, New Relic CLI for resource management, and network proxy remediation to avoid DLP.</w:t>
      </w:r>
    </w:p>
    <w:p w14:paraId="2E45E045" w14:textId="77777777" w:rsidR="00B71F72" w:rsidRPr="00B71F72" w:rsidRDefault="00B71F72" w:rsidP="00B71F72">
      <w:pPr>
        <w:numPr>
          <w:ilvl w:val="1"/>
          <w:numId w:val="10"/>
        </w:numPr>
      </w:pPr>
      <w:r w:rsidRPr="00B71F72">
        <w:rPr>
          <w:b/>
          <w:bCs/>
        </w:rPr>
        <w:t>Hybrid Cloud Control Plane Alignment:</w:t>
      </w:r>
      <w:r w:rsidRPr="00B71F72">
        <w:t> Work focuses on Oracle Apex Upgrade, Net Apps Workflow Onboarding, ECS Workflow Onboarding, and implementing the new Control Workbench Prioritization Model</w:t>
      </w:r>
    </w:p>
    <w:p w14:paraId="0034A0F4" w14:textId="77777777" w:rsidR="00C920E9" w:rsidRDefault="00C920E9"/>
    <w:sectPr w:rsidR="00C920E9">
      <w:footerReference w:type="even" r:id="rId11"/>
      <w:footerReference w:type="defaul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B7798" w14:textId="77777777" w:rsidR="0074067E" w:rsidRDefault="0074067E" w:rsidP="00B71F72">
      <w:pPr>
        <w:spacing w:after="0" w:line="240" w:lineRule="auto"/>
      </w:pPr>
      <w:r>
        <w:separator/>
      </w:r>
    </w:p>
  </w:endnote>
  <w:endnote w:type="continuationSeparator" w:id="0">
    <w:p w14:paraId="3EBF5791" w14:textId="77777777" w:rsidR="0074067E" w:rsidRDefault="0074067E" w:rsidP="00B71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utsche Bank Text">
    <w:panose1 w:val="020B0503020202030204"/>
    <w:charset w:val="00"/>
    <w:family w:val="swiss"/>
    <w:pitch w:val="variable"/>
    <w:sig w:usb0="A000006F" w:usb1="0000006B" w:usb2="00000028" w:usb3="00000000" w:csb0="00000001" w:csb1="00000000"/>
  </w:font>
  <w:font w:name="Bodoni MT Black">
    <w:panose1 w:val="02070A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F5B3" w14:textId="32BE1B57" w:rsidR="00B71F72" w:rsidRDefault="00B71F72">
    <w:pPr>
      <w:pStyle w:val="Footer"/>
    </w:pPr>
    <w:r>
      <w:rPr>
        <w:noProof/>
      </w:rPr>
      <mc:AlternateContent>
        <mc:Choice Requires="wps">
          <w:drawing>
            <wp:anchor distT="0" distB="0" distL="0" distR="0" simplePos="0" relativeHeight="251658241" behindDoc="0" locked="0" layoutInCell="1" allowOverlap="1" wp14:anchorId="422BB691" wp14:editId="0D793C05">
              <wp:simplePos x="635" y="635"/>
              <wp:positionH relativeFrom="page">
                <wp:align>center</wp:align>
              </wp:positionH>
              <wp:positionV relativeFrom="page">
                <wp:align>bottom</wp:align>
              </wp:positionV>
              <wp:extent cx="1130935" cy="370205"/>
              <wp:effectExtent l="0" t="0" r="12065" b="0"/>
              <wp:wrapNone/>
              <wp:docPr id="1943784760" name="Text Box 3" descr=" For internal use on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30935" cy="370205"/>
                      </a:xfrm>
                      <a:prstGeom prst="rect">
                        <a:avLst/>
                      </a:prstGeom>
                      <a:noFill/>
                      <a:ln>
                        <a:noFill/>
                      </a:ln>
                    </wps:spPr>
                    <wps:txbx>
                      <w:txbxContent>
                        <w:p w14:paraId="65CC02FA" w14:textId="5E9B2110" w:rsidR="00B71F72" w:rsidRPr="00B71F72" w:rsidRDefault="00B71F72" w:rsidP="00B71F72">
                          <w:pPr>
                            <w:spacing w:after="0"/>
                            <w:rPr>
                              <w:rFonts w:ascii="Aptos" w:eastAsia="Aptos" w:hAnsi="Aptos" w:cs="Aptos"/>
                              <w:noProof/>
                              <w:color w:val="000000"/>
                              <w:sz w:val="20"/>
                              <w:szCs w:val="20"/>
                            </w:rPr>
                          </w:pPr>
                          <w:r w:rsidRPr="00B71F72">
                            <w:rPr>
                              <w:rFonts w:ascii="Aptos" w:eastAsia="Aptos" w:hAnsi="Aptos" w:cs="Aptos"/>
                              <w:noProof/>
                              <w:color w:val="000000"/>
                              <w:sz w:val="20"/>
                              <w:szCs w:val="20"/>
                            </w:rPr>
                            <w:t xml:space="preserve"> For internal use only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2BB691" id="_x0000_t202" coordsize="21600,21600" o:spt="202" path="m,l,21600r21600,l21600,xe">
              <v:stroke joinstyle="miter"/>
              <v:path gradientshapeok="t" o:connecttype="rect"/>
            </v:shapetype>
            <v:shape id="Text Box 3" o:spid="_x0000_s1026" type="#_x0000_t202" alt=" For internal use only " style="position:absolute;margin-left:0;margin-top:0;width:89.05pt;height:29.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" filled="f" stroked="f">
              <v:textbox style="mso-fit-shape-to-text:t" inset="0,0,0,15pt">
                <w:txbxContent>
                  <w:p w14:paraId="65CC02FA" w14:textId="5E9B2110" w:rsidR="00B71F72" w:rsidRPr="00B71F72" w:rsidRDefault="00B71F72" w:rsidP="00B71F72">
                    <w:pPr>
                      <w:spacing w:after="0"/>
                      <w:rPr>
                        <w:rFonts w:ascii="Aptos" w:eastAsia="Aptos" w:hAnsi="Aptos" w:cs="Aptos"/>
                        <w:noProof/>
                        <w:color w:val="000000"/>
                        <w:sz w:val="20"/>
                        <w:szCs w:val="20"/>
                      </w:rPr>
                    </w:pPr>
                    <w:r w:rsidRPr="00B71F72">
                      <w:rPr>
                        <w:rFonts w:ascii="Aptos" w:eastAsia="Aptos" w:hAnsi="Aptos" w:cs="Aptos"/>
                        <w:noProof/>
                        <w:color w:val="000000"/>
                        <w:sz w:val="20"/>
                        <w:szCs w:val="20"/>
                      </w:rPr>
                      <w:t xml:space="preserve"> For internal use only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341DF" w14:textId="45B466FF" w:rsidR="00B71F72" w:rsidRDefault="00B71F72">
    <w:pPr>
      <w:pStyle w:val="Footer"/>
      <w:pBdr>
        <w:top w:val="single" w:sz="4" w:space="1" w:color="D9D9D9" w:themeColor="background1" w:themeShade="D9"/>
      </w:pBdr>
      <w:rPr>
        <w:b/>
        <w:bCs/>
      </w:rPr>
    </w:pPr>
    <w:r>
      <w:rPr>
        <w:noProof/>
      </w:rPr>
      <mc:AlternateContent>
        <mc:Choice Requires="wps">
          <w:drawing>
            <wp:anchor distT="0" distB="0" distL="0" distR="0" simplePos="0" relativeHeight="251658242" behindDoc="0" locked="0" layoutInCell="1" allowOverlap="1" wp14:anchorId="34E031A9" wp14:editId="4E92EAA6">
              <wp:simplePos x="635" y="635"/>
              <wp:positionH relativeFrom="page">
                <wp:align>center</wp:align>
              </wp:positionH>
              <wp:positionV relativeFrom="page">
                <wp:align>bottom</wp:align>
              </wp:positionV>
              <wp:extent cx="1130935" cy="370205"/>
              <wp:effectExtent l="0" t="0" r="12065" b="0"/>
              <wp:wrapNone/>
              <wp:docPr id="2000457025" name="Text Box 4" descr=" For internal use on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30935" cy="370205"/>
                      </a:xfrm>
                      <a:prstGeom prst="rect">
                        <a:avLst/>
                      </a:prstGeom>
                      <a:noFill/>
                      <a:ln>
                        <a:noFill/>
                      </a:ln>
                    </wps:spPr>
                    <wps:txbx>
                      <w:txbxContent>
                        <w:p w14:paraId="193B57E5" w14:textId="14A7A4C4" w:rsidR="00B71F72" w:rsidRPr="00B71F72" w:rsidRDefault="00B71F72" w:rsidP="00B71F72">
                          <w:pPr>
                            <w:spacing w:after="0"/>
                            <w:rPr>
                              <w:rFonts w:ascii="Aptos" w:eastAsia="Aptos" w:hAnsi="Aptos" w:cs="Aptos"/>
                              <w:noProof/>
                              <w:color w:val="000000"/>
                              <w:sz w:val="20"/>
                              <w:szCs w:val="20"/>
                            </w:rPr>
                          </w:pPr>
                          <w:r w:rsidRPr="00B71F72">
                            <w:rPr>
                              <w:rFonts w:ascii="Aptos" w:eastAsia="Aptos" w:hAnsi="Aptos" w:cs="Aptos"/>
                              <w:noProof/>
                              <w:color w:val="000000"/>
                              <w:sz w:val="20"/>
                              <w:szCs w:val="20"/>
                            </w:rPr>
                            <w:t xml:space="preserve"> For internal use only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E031A9" id="_x0000_t202" coordsize="21600,21600" o:spt="202" path="m,l,21600r21600,l21600,xe">
              <v:stroke joinstyle="miter"/>
              <v:path gradientshapeok="t" o:connecttype="rect"/>
            </v:shapetype>
            <v:shape id="Text Box 4" o:spid="_x0000_s1027" type="#_x0000_t202" alt=" For internal use only " style="position:absolute;margin-left:0;margin-top:0;width:89.05pt;height:29.1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" filled="f" stroked="f">
              <v:textbox style="mso-fit-shape-to-text:t" inset="0,0,0,15pt">
                <w:txbxContent>
                  <w:p w14:paraId="193B57E5" w14:textId="14A7A4C4" w:rsidR="00B71F72" w:rsidRPr="00B71F72" w:rsidRDefault="00B71F72" w:rsidP="00B71F72">
                    <w:pPr>
                      <w:spacing w:after="0"/>
                      <w:rPr>
                        <w:rFonts w:ascii="Aptos" w:eastAsia="Aptos" w:hAnsi="Aptos" w:cs="Aptos"/>
                        <w:noProof/>
                        <w:color w:val="000000"/>
                        <w:sz w:val="20"/>
                        <w:szCs w:val="20"/>
                      </w:rPr>
                    </w:pPr>
                    <w:r w:rsidRPr="00B71F72">
                      <w:rPr>
                        <w:rFonts w:ascii="Aptos" w:eastAsia="Aptos" w:hAnsi="Aptos" w:cs="Aptos"/>
                        <w:noProof/>
                        <w:color w:val="000000"/>
                        <w:sz w:val="20"/>
                        <w:szCs w:val="20"/>
                      </w:rPr>
                      <w:t xml:space="preserve"> For internal use only </w:t>
                    </w:r>
                  </w:p>
                </w:txbxContent>
              </v:textbox>
              <w10:wrap anchorx="page" anchory="page"/>
            </v:shape>
          </w:pict>
        </mc:Fallback>
      </mc:AlternateContent>
    </w:r>
    <w:sdt>
      <w:sdtPr>
        <w:id w:val="1937711132"/>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p>
  <w:p w14:paraId="51984D9D" w14:textId="77777777" w:rsidR="00B71F72" w:rsidRDefault="00B71F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F2E9" w14:textId="2D3CC2D9" w:rsidR="00B71F72" w:rsidRDefault="00B71F72">
    <w:pPr>
      <w:pStyle w:val="Footer"/>
    </w:pPr>
    <w:r>
      <w:rPr>
        <w:noProof/>
      </w:rPr>
      <mc:AlternateContent>
        <mc:Choice Requires="wps">
          <w:drawing>
            <wp:anchor distT="0" distB="0" distL="0" distR="0" simplePos="0" relativeHeight="251658240" behindDoc="0" locked="0" layoutInCell="1" allowOverlap="1" wp14:anchorId="0F0BD6E0" wp14:editId="347A153D">
              <wp:simplePos x="635" y="635"/>
              <wp:positionH relativeFrom="page">
                <wp:align>center</wp:align>
              </wp:positionH>
              <wp:positionV relativeFrom="page">
                <wp:align>bottom</wp:align>
              </wp:positionV>
              <wp:extent cx="1130935" cy="370205"/>
              <wp:effectExtent l="0" t="0" r="12065" b="0"/>
              <wp:wrapNone/>
              <wp:docPr id="383937829" name="Text Box 2" descr=" For internal use on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30935" cy="370205"/>
                      </a:xfrm>
                      <a:prstGeom prst="rect">
                        <a:avLst/>
                      </a:prstGeom>
                      <a:noFill/>
                      <a:ln>
                        <a:noFill/>
                      </a:ln>
                    </wps:spPr>
                    <wps:txbx>
                      <w:txbxContent>
                        <w:p w14:paraId="394B5218" w14:textId="19993644" w:rsidR="00B71F72" w:rsidRPr="00B71F72" w:rsidRDefault="00B71F72" w:rsidP="00B71F72">
                          <w:pPr>
                            <w:spacing w:after="0"/>
                            <w:rPr>
                              <w:rFonts w:ascii="Aptos" w:eastAsia="Aptos" w:hAnsi="Aptos" w:cs="Aptos"/>
                              <w:noProof/>
                              <w:color w:val="000000"/>
                              <w:sz w:val="20"/>
                              <w:szCs w:val="20"/>
                            </w:rPr>
                          </w:pPr>
                          <w:r w:rsidRPr="00B71F72">
                            <w:rPr>
                              <w:rFonts w:ascii="Aptos" w:eastAsia="Aptos" w:hAnsi="Aptos" w:cs="Aptos"/>
                              <w:noProof/>
                              <w:color w:val="000000"/>
                              <w:sz w:val="20"/>
                              <w:szCs w:val="20"/>
                            </w:rPr>
                            <w:t xml:space="preserve"> For internal use only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0BD6E0" id="_x0000_t202" coordsize="21600,21600" o:spt="202" path="m,l,21600r21600,l21600,xe">
              <v:stroke joinstyle="miter"/>
              <v:path gradientshapeok="t" o:connecttype="rect"/>
            </v:shapetype>
            <v:shape id="Text Box 2" o:spid="_x0000_s1028" type="#_x0000_t202" alt=" For internal use only " style="position:absolute;margin-left:0;margin-top:0;width:89.0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" filled="f" stroked="f">
              <v:textbox style="mso-fit-shape-to-text:t" inset="0,0,0,15pt">
                <w:txbxContent>
                  <w:p w14:paraId="394B5218" w14:textId="19993644" w:rsidR="00B71F72" w:rsidRPr="00B71F72" w:rsidRDefault="00B71F72" w:rsidP="00B71F72">
                    <w:pPr>
                      <w:spacing w:after="0"/>
                      <w:rPr>
                        <w:rFonts w:ascii="Aptos" w:eastAsia="Aptos" w:hAnsi="Aptos" w:cs="Aptos"/>
                        <w:noProof/>
                        <w:color w:val="000000"/>
                        <w:sz w:val="20"/>
                        <w:szCs w:val="20"/>
                      </w:rPr>
                    </w:pPr>
                    <w:r w:rsidRPr="00B71F72">
                      <w:rPr>
                        <w:rFonts w:ascii="Aptos" w:eastAsia="Aptos" w:hAnsi="Aptos" w:cs="Aptos"/>
                        <w:noProof/>
                        <w:color w:val="000000"/>
                        <w:sz w:val="20"/>
                        <w:szCs w:val="20"/>
                      </w:rPr>
                      <w:t xml:space="preserve"> For internal use only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CF9A4" w14:textId="77777777" w:rsidR="0074067E" w:rsidRDefault="0074067E" w:rsidP="00B71F72">
      <w:pPr>
        <w:spacing w:after="0" w:line="240" w:lineRule="auto"/>
      </w:pPr>
      <w:r>
        <w:separator/>
      </w:r>
    </w:p>
  </w:footnote>
  <w:footnote w:type="continuationSeparator" w:id="0">
    <w:p w14:paraId="7CD80F7F" w14:textId="77777777" w:rsidR="0074067E" w:rsidRDefault="0074067E" w:rsidP="00B71F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1679"/>
    <w:multiLevelType w:val="multilevel"/>
    <w:tmpl w:val="C360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315BD"/>
    <w:multiLevelType w:val="multilevel"/>
    <w:tmpl w:val="3FCCE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55D4F"/>
    <w:multiLevelType w:val="multilevel"/>
    <w:tmpl w:val="CD302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B6366"/>
    <w:multiLevelType w:val="multilevel"/>
    <w:tmpl w:val="3D74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B0196"/>
    <w:multiLevelType w:val="multilevel"/>
    <w:tmpl w:val="E8B6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26899"/>
    <w:multiLevelType w:val="multilevel"/>
    <w:tmpl w:val="EA508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2288D"/>
    <w:multiLevelType w:val="multilevel"/>
    <w:tmpl w:val="D4520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377C2"/>
    <w:multiLevelType w:val="multilevel"/>
    <w:tmpl w:val="5F1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0B4297"/>
    <w:multiLevelType w:val="multilevel"/>
    <w:tmpl w:val="B306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85098"/>
    <w:multiLevelType w:val="multilevel"/>
    <w:tmpl w:val="555A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1917">
    <w:abstractNumId w:val="7"/>
  </w:num>
  <w:num w:numId="2" w16cid:durableId="2132627329">
    <w:abstractNumId w:val="5"/>
  </w:num>
  <w:num w:numId="3" w16cid:durableId="1789229245">
    <w:abstractNumId w:val="4"/>
  </w:num>
  <w:num w:numId="4" w16cid:durableId="908922921">
    <w:abstractNumId w:val="6"/>
  </w:num>
  <w:num w:numId="5" w16cid:durableId="224801414">
    <w:abstractNumId w:val="3"/>
  </w:num>
  <w:num w:numId="6" w16cid:durableId="1863006357">
    <w:abstractNumId w:val="0"/>
  </w:num>
  <w:num w:numId="7" w16cid:durableId="195046631">
    <w:abstractNumId w:val="9"/>
  </w:num>
  <w:num w:numId="8" w16cid:durableId="151875417">
    <w:abstractNumId w:val="8"/>
  </w:num>
  <w:num w:numId="9" w16cid:durableId="31156350">
    <w:abstractNumId w:val="1"/>
  </w:num>
  <w:num w:numId="10" w16cid:durableId="1448157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F72"/>
    <w:rsid w:val="000B58EE"/>
    <w:rsid w:val="00190E80"/>
    <w:rsid w:val="001B5D9C"/>
    <w:rsid w:val="0033731C"/>
    <w:rsid w:val="005C3E7E"/>
    <w:rsid w:val="0074067E"/>
    <w:rsid w:val="00B71F72"/>
    <w:rsid w:val="00C920E9"/>
    <w:rsid w:val="00D56A35"/>
    <w:rsid w:val="00EA19F0"/>
    <w:rsid w:val="00F57118"/>
    <w:rsid w:val="00F655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4C93C"/>
  <w15:chartTrackingRefBased/>
  <w15:docId w15:val="{8BEA55A0-E412-45FE-AC97-47CE4D23E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1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1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F72"/>
    <w:rPr>
      <w:rFonts w:eastAsiaTheme="majorEastAsia" w:cstheme="majorBidi"/>
      <w:color w:val="272727" w:themeColor="text1" w:themeTint="D8"/>
    </w:rPr>
  </w:style>
  <w:style w:type="paragraph" w:styleId="Title">
    <w:name w:val="Title"/>
    <w:basedOn w:val="Normal"/>
    <w:next w:val="Normal"/>
    <w:link w:val="TitleChar"/>
    <w:uiPriority w:val="10"/>
    <w:qFormat/>
    <w:rsid w:val="00B71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F72"/>
    <w:pPr>
      <w:spacing w:before="160"/>
      <w:jc w:val="center"/>
    </w:pPr>
    <w:rPr>
      <w:i/>
      <w:iCs/>
      <w:color w:val="404040" w:themeColor="text1" w:themeTint="BF"/>
    </w:rPr>
  </w:style>
  <w:style w:type="character" w:customStyle="1" w:styleId="QuoteChar">
    <w:name w:val="Quote Char"/>
    <w:basedOn w:val="DefaultParagraphFont"/>
    <w:link w:val="Quote"/>
    <w:uiPriority w:val="29"/>
    <w:rsid w:val="00B71F72"/>
    <w:rPr>
      <w:i/>
      <w:iCs/>
      <w:color w:val="404040" w:themeColor="text1" w:themeTint="BF"/>
    </w:rPr>
  </w:style>
  <w:style w:type="paragraph" w:styleId="ListParagraph">
    <w:name w:val="List Paragraph"/>
    <w:basedOn w:val="Normal"/>
    <w:uiPriority w:val="34"/>
    <w:qFormat/>
    <w:rsid w:val="00B71F72"/>
    <w:pPr>
      <w:ind w:left="720"/>
      <w:contextualSpacing/>
    </w:pPr>
  </w:style>
  <w:style w:type="character" w:styleId="IntenseEmphasis">
    <w:name w:val="Intense Emphasis"/>
    <w:basedOn w:val="DefaultParagraphFont"/>
    <w:uiPriority w:val="21"/>
    <w:qFormat/>
    <w:rsid w:val="00B71F72"/>
    <w:rPr>
      <w:i/>
      <w:iCs/>
      <w:color w:val="0F4761" w:themeColor="accent1" w:themeShade="BF"/>
    </w:rPr>
  </w:style>
  <w:style w:type="paragraph" w:styleId="IntenseQuote">
    <w:name w:val="Intense Quote"/>
    <w:basedOn w:val="Normal"/>
    <w:next w:val="Normal"/>
    <w:link w:val="IntenseQuoteChar"/>
    <w:uiPriority w:val="30"/>
    <w:qFormat/>
    <w:rsid w:val="00B71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F72"/>
    <w:rPr>
      <w:i/>
      <w:iCs/>
      <w:color w:val="0F4761" w:themeColor="accent1" w:themeShade="BF"/>
    </w:rPr>
  </w:style>
  <w:style w:type="character" w:styleId="IntenseReference">
    <w:name w:val="Intense Reference"/>
    <w:basedOn w:val="DefaultParagraphFont"/>
    <w:uiPriority w:val="32"/>
    <w:qFormat/>
    <w:rsid w:val="00B71F72"/>
    <w:rPr>
      <w:b/>
      <w:bCs/>
      <w:smallCaps/>
      <w:color w:val="0F4761" w:themeColor="accent1" w:themeShade="BF"/>
      <w:spacing w:val="5"/>
    </w:rPr>
  </w:style>
  <w:style w:type="paragraph" w:styleId="Header">
    <w:name w:val="header"/>
    <w:basedOn w:val="Normal"/>
    <w:link w:val="HeaderChar"/>
    <w:uiPriority w:val="99"/>
    <w:unhideWhenUsed/>
    <w:rsid w:val="00B71F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1F72"/>
  </w:style>
  <w:style w:type="paragraph" w:styleId="Footer">
    <w:name w:val="footer"/>
    <w:basedOn w:val="Normal"/>
    <w:link w:val="FooterChar"/>
    <w:uiPriority w:val="99"/>
    <w:unhideWhenUsed/>
    <w:rsid w:val="00B71F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1F72"/>
  </w:style>
  <w:style w:type="paragraph" w:styleId="TOC1">
    <w:name w:val="toc 1"/>
    <w:basedOn w:val="Normal"/>
    <w:next w:val="Normal"/>
    <w:autoRedefine/>
    <w:uiPriority w:val="39"/>
    <w:unhideWhenUsed/>
    <w:rsid w:val="00B71F72"/>
    <w:pPr>
      <w:spacing w:after="100"/>
    </w:pPr>
  </w:style>
  <w:style w:type="paragraph" w:styleId="TOC2">
    <w:name w:val="toc 2"/>
    <w:basedOn w:val="Normal"/>
    <w:next w:val="Normal"/>
    <w:autoRedefine/>
    <w:uiPriority w:val="39"/>
    <w:unhideWhenUsed/>
    <w:rsid w:val="00B71F72"/>
    <w:pPr>
      <w:spacing w:after="100"/>
      <w:ind w:left="240"/>
    </w:pPr>
  </w:style>
  <w:style w:type="character" w:styleId="Hyperlink">
    <w:name w:val="Hyperlink"/>
    <w:basedOn w:val="DefaultParagraphFont"/>
    <w:uiPriority w:val="99"/>
    <w:unhideWhenUsed/>
    <w:rsid w:val="00B71F72"/>
    <w:rPr>
      <w:color w:val="467886" w:themeColor="hyperlink"/>
      <w:u w:val="single"/>
    </w:rPr>
  </w:style>
  <w:style w:type="table" w:customStyle="1" w:styleId="KeyDataTable">
    <w:name w:val="Key Data Table"/>
    <w:basedOn w:val="TableNormal"/>
    <w:rsid w:val="00190E80"/>
    <w:pPr>
      <w:suppressAutoHyphens/>
      <w:spacing w:before="60" w:after="60" w:line="252" w:lineRule="auto"/>
    </w:pPr>
    <w:rPr>
      <w:rFonts w:ascii="Deutsche Bank Text" w:hAnsi="Deutsche Bank Text"/>
      <w:kern w:val="0"/>
      <w:sz w:val="18"/>
      <w:szCs w:val="20"/>
      <w:lang w:val="de-DE"/>
      <w14:ligatures w14:val="none"/>
    </w:rPr>
    <w:tblPr>
      <w:tblBorders>
        <w:top w:val="single" w:sz="4" w:space="0" w:color="auto"/>
        <w:bottom w:val="single" w:sz="4" w:space="0" w:color="auto"/>
        <w:insideH w:val="single" w:sz="4" w:space="0" w:color="auto"/>
      </w:tblBorders>
      <w:tblCellMar>
        <w:top w:w="28" w:type="dxa"/>
        <w:left w:w="57" w:type="dxa"/>
        <w:bottom w:w="28" w:type="dxa"/>
        <w:right w:w="57" w:type="dxa"/>
      </w:tblCellMar>
    </w:tblPr>
    <w:tcPr>
      <w:shd w:val="clear" w:color="auto" w:fill="auto"/>
      <w:vAlign w:val="center"/>
    </w:tcPr>
    <w:tblStylePr w:type="firstRow">
      <w:rPr>
        <w:rFonts w:ascii="Bodoni MT Black" w:hAnsi="Bodoni MT Black"/>
        <w:sz w:val="18"/>
      </w:rPr>
    </w:tblStylePr>
    <w:tblStylePr w:type="firstCol">
      <w:rPr>
        <w:rFonts w:ascii="Bodoni MT Black" w:hAnsi="Bodoni MT Black"/>
        <w:color w:val="156082" w:themeColor="accent1"/>
        <w:sz w:val="18"/>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87f1e3c-5ccb-47eb-885e-6f5d51982b28" xsi:nil="true"/>
    <lcf76f155ced4ddcb4097134ff3c332f xmlns="8b1e9b79-46d4-4205-8195-c2277b7051e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C3BE4A9ED9C84584111BDD838C1714" ma:contentTypeVersion="12" ma:contentTypeDescription="Create a new document." ma:contentTypeScope="" ma:versionID="c63ebaaa977cadb5014e03087b54faef">
  <xsd:schema xmlns:xsd="http://www.w3.org/2001/XMLSchema" xmlns:xs="http://www.w3.org/2001/XMLSchema" xmlns:p="http://schemas.microsoft.com/office/2006/metadata/properties" xmlns:ns1="http://schemas.microsoft.com/sharepoint/v3" xmlns:ns2="8b1e9b79-46d4-4205-8195-c2277b7051e3" xmlns:ns3="887f1e3c-5ccb-47eb-885e-6f5d51982b28" targetNamespace="http://schemas.microsoft.com/office/2006/metadata/properties" ma:root="true" ma:fieldsID="1b2a2e004fd83f2fadd3ae1e037af9e3" ns1:_="" ns2:_="" ns3:_="">
    <xsd:import namespace="http://schemas.microsoft.com/sharepoint/v3"/>
    <xsd:import namespace="8b1e9b79-46d4-4205-8195-c2277b7051e3"/>
    <xsd:import namespace="887f1e3c-5ccb-47eb-885e-6f5d51982b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1e9b79-46d4-4205-8195-c2277b7051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fc7666e-d55c-42e6-98c7-52deeb412ae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7f1e3c-5ccb-47eb-885e-6f5d51982b2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d518e4-f91f-4db1-b32d-93eb526bcf4c}" ma:internalName="TaxCatchAll" ma:showField="CatchAllData" ma:web="887f1e3c-5ccb-47eb-885e-6f5d51982b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491EAB-AAB0-48DE-B09A-652830F87F52}">
  <ds:schemaRefs>
    <ds:schemaRef ds:uri="http://schemas.microsoft.com/office/2006/metadata/properties"/>
    <ds:schemaRef ds:uri="http://schemas.microsoft.com/office/infopath/2007/PartnerControls"/>
    <ds:schemaRef ds:uri="http://schemas.microsoft.com/sharepoint/v3"/>
    <ds:schemaRef ds:uri="966a3670-1874-462d-95c2-b375d5443adf"/>
    <ds:schemaRef ds:uri="887f1e3c-5ccb-47eb-885e-6f5d51982b28"/>
  </ds:schemaRefs>
</ds:datastoreItem>
</file>

<file path=customXml/itemProps2.xml><?xml version="1.0" encoding="utf-8"?>
<ds:datastoreItem xmlns:ds="http://schemas.openxmlformats.org/officeDocument/2006/customXml" ds:itemID="{7B052988-869A-4414-8760-AC28E174745B}">
  <ds:schemaRefs>
    <ds:schemaRef ds:uri="http://schemas.microsoft.com/sharepoint/v3/contenttype/forms"/>
  </ds:schemaRefs>
</ds:datastoreItem>
</file>

<file path=customXml/itemProps3.xml><?xml version="1.0" encoding="utf-8"?>
<ds:datastoreItem xmlns:ds="http://schemas.openxmlformats.org/officeDocument/2006/customXml" ds:itemID="{B077214F-FA55-4411-A0F7-FE68688C9449}"/>
</file>

<file path=docProps/app.xml><?xml version="1.0" encoding="utf-8"?>
<Properties xmlns="http://schemas.openxmlformats.org/officeDocument/2006/extended-properties" xmlns:vt="http://schemas.openxmlformats.org/officeDocument/2006/docPropsVTypes">
  <Template>Normal.dotm</Template>
  <TotalTime>0</TotalTime>
  <Pages>12</Pages>
  <Words>2239</Words>
  <Characters>13461</Characters>
  <Application>Microsoft Office Word</Application>
  <DocSecurity>0</DocSecurity>
  <Lines>448</Lines>
  <Paragraphs>307</Paragraphs>
  <ScaleCrop>false</ScaleCrop>
  <Company/>
  <LinksUpToDate>false</LinksUpToDate>
  <CharactersWithSpaces>15393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Manthorpe</dc:creator>
  <cp:keywords/>
  <dc:description/>
  <cp:lastModifiedBy>Richard Manthorpe</cp:lastModifiedBy>
  <cp:revision>6</cp:revision>
  <dcterms:created xsi:type="dcterms:W3CDTF">2025-12-08T16:21:00Z</dcterms:created>
  <dcterms:modified xsi:type="dcterms:W3CDTF">2025-12-08T18:12:00Z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16e26d25,73dbcd38,773c8d41</vt:lpwstr>
  </property>
  <property fmtid="{D5CDD505-2E9C-101B-9397-08002B2CF9AE}" pid="3" name="ClassificationContentMarkingFooterFontProps">
    <vt:lpwstr>#000000,10,Aptos</vt:lpwstr>
  </property>
  <property fmtid="{D5CDD505-2E9C-101B-9397-08002B2CF9AE}" pid="4" name="ClassificationContentMarkingFooterText">
    <vt:lpwstr> For internal use only </vt:lpwstr>
  </property>
  <property fmtid="{D5CDD505-2E9C-101B-9397-08002B2CF9AE}" pid="5" name="MSIP_Label_af1741f6-9e47-426e-a683-937c37d4ebc5_Enabled">
    <vt:lpwstr>true</vt:lpwstr>
  </property>
  <property fmtid="{D5CDD505-2E9C-101B-9397-08002B2CF9AE}" pid="6" name="MSIP_Label_af1741f6-9e47-426e-a683-937c37d4ebc5_SetDate">
    <vt:lpwstr>2025-12-08T16:34:31Z</vt:lpwstr>
  </property>
  <property fmtid="{D5CDD505-2E9C-101B-9397-08002B2CF9AE}" pid="7" name="MSIP_Label_af1741f6-9e47-426e-a683-937c37d4ebc5_Method">
    <vt:lpwstr>Privileged</vt:lpwstr>
  </property>
  <property fmtid="{D5CDD505-2E9C-101B-9397-08002B2CF9AE}" pid="8" name="MSIP_Label_af1741f6-9e47-426e-a683-937c37d4ebc5_Name">
    <vt:lpwstr>af1741f6-9e47-426e-a683-937c37d4ebc5</vt:lpwstr>
  </property>
  <property fmtid="{D5CDD505-2E9C-101B-9397-08002B2CF9AE}" pid="9" name="MSIP_Label_af1741f6-9e47-426e-a683-937c37d4ebc5_SiteId">
    <vt:lpwstr>1e9b61e8-e590-4abc-b1af-24125e330d2a</vt:lpwstr>
  </property>
  <property fmtid="{D5CDD505-2E9C-101B-9397-08002B2CF9AE}" pid="10" name="MSIP_Label_af1741f6-9e47-426e-a683-937c37d4ebc5_ActionId">
    <vt:lpwstr>19087364-a899-4d40-8b11-0db60b96df3b</vt:lpwstr>
  </property>
  <property fmtid="{D5CDD505-2E9C-101B-9397-08002B2CF9AE}" pid="11" name="MSIP_Label_af1741f6-9e47-426e-a683-937c37d4ebc5_ContentBits">
    <vt:lpwstr>3</vt:lpwstr>
  </property>
  <property fmtid="{D5CDD505-2E9C-101B-9397-08002B2CF9AE}" pid="12" name="MSIP_Label_af1741f6-9e47-426e-a683-937c37d4ebc5_Tag">
    <vt:lpwstr>10, 0, 1, 1</vt:lpwstr>
  </property>
  <property fmtid="{D5CDD505-2E9C-101B-9397-08002B2CF9AE}" pid="13" name="ContentTypeId">
    <vt:lpwstr>0x0101009FC3BE4A9ED9C84584111BDD838C1714</vt:lpwstr>
  </property>
  <property fmtid="{D5CDD505-2E9C-101B-9397-08002B2CF9AE}" pid="14" name="MediaServiceImageTags">
    <vt:lpwstr/>
  </property>
</Properties>
</file>