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CNQPS故障报告</w:t>
      </w:r>
    </w:p>
    <w:p>
      <w:pPr>
        <w:jc w:val="right"/>
      </w:pPr>
      <w:r>
        <w:t>填表日期:2015-04-23</w:t>
      </w:r>
    </w:p>
    <w:p>
      <w:r>
        <w:t xml:space="preserve">值班人员：孙玉武 刘明星   </w:t>
      </w:r>
    </w:p>
    <w:p>
      <w:r>
        <w:t>故障时间：2015年4月23日19:55:00-23日19:55:00</w:t>
      </w:r>
    </w:p>
    <w:p>
      <w:r>
        <w:t>故障类型：域名、网络、安全</w:t>
      </w:r>
    </w:p>
    <w:p>
      <w:r>
        <w:t>影响范围：SUM美国Neustar</w:t>
      </w:r>
    </w:p>
    <w:p>
      <w:pPr>
        <w:pStyle w:val="Heading1"/>
      </w:pPr>
      <w:r>
        <w:t>故障摘要：</w:t>
      </w:r>
    </w:p>
    <w:p>
      <w:pPr>
        <w:ind w:firstLine="360"/>
      </w:pPr>
      <w:r>
        <w:t>njnhjdhf</w:t>
      </w:r>
    </w:p>
    <w:p>
      <w:pPr>
        <w:pStyle w:val="Heading1"/>
      </w:pPr>
      <w:r>
        <w:t>故障现象：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节点名称</w:t>
            </w:r>
          </w:p>
        </w:tc>
        <w:tc>
          <w:tcPr>
            <w:tcW w:type="dxa" w:w="2880"/>
          </w:tcPr>
          <w:p>
            <w:r>
              <w:t>平均QPS</w:t>
            </w:r>
          </w:p>
        </w:tc>
        <w:tc>
          <w:tcPr>
            <w:tcW w:type="dxa" w:w="2880"/>
          </w:tcPr>
          <w:p>
            <w:r>
              <w:t>峰值QPS</w:t>
            </w:r>
          </w:p>
        </w:tc>
      </w:tr>
      <w:tr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美国Neustar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pStyle w:val="Heading1"/>
      </w:pPr>
      <w:r>
        <w:t>处理过程：</w:t>
      </w:r>
    </w:p>
    <w:p>
      <w:pPr>
        <w:pStyle w:val="ListBullet"/>
      </w:pPr>
      <w:r>
        <w:t>sfd</w:t>
      </w:r>
    </w:p>
    <w:p>
      <w:pPr>
        <w:pStyle w:val="ListBullet"/>
      </w:pPr>
      <w:r>
        <w:t>sdf</w:t>
      </w:r>
    </w:p>
    <w:p>
      <w:pPr>
        <w:pStyle w:val="ListBullet"/>
      </w:pPr>
      <w:r>
        <w:t>fdszf</w:t>
      </w:r>
    </w:p>
    <w:p>
      <w:pPr>
        <w:pStyle w:val="ListBullet"/>
      </w:pPr>
      <w:r>
        <w:t>dfg</w:t>
      </w:r>
    </w:p>
    <w:p>
      <w:pPr>
        <w:pStyle w:val="ListBullet"/>
      </w:pPr>
      <w:r>
        <w:t>afg</w:t>
      </w:r>
    </w:p>
    <w:p>
      <w:pPr>
        <w:pStyle w:val="ListBullet"/>
      </w:pPr>
    </w:p>
    <w:p>
      <w:pPr>
        <w:pStyle w:val="ListBullet"/>
      </w:pPr>
    </w:p>
    <w:p>
      <w:pPr>
        <w:pStyle w:val="ListBullet"/>
      </w:pPr>
    </w:p>
    <w:p>
      <w:pPr>
        <w:pStyle w:val="ListBullet"/>
      </w:pPr>
    </w:p>
    <w:p>
      <w:pPr>
        <w:pStyle w:val="ListBullet"/>
      </w:pPr>
    </w:p>
    <w:p>
      <w:pPr>
        <w:pStyle w:val="Heading1"/>
      </w:pPr>
      <w:r>
        <w:t>附录一 MRTG图像</w:t>
      </w:r>
    </w:p>
    <w:p>
      <w:r>
        <w:t>SUM</w:t>
      </w:r>
    </w:p>
    <w:p>
      <w:r>
        <w:drawing>
          <wp:inline xmlns:a="http://schemas.openxmlformats.org/drawingml/2006/main" xmlns:pic="http://schemas.openxmlformats.org/drawingml/2006/picture">
            <wp:extent cx="2286000" cy="10731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_0_201504272147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3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美国Neustar</w:t>
      </w:r>
    </w:p>
    <w:p>
      <w:r>
        <w:drawing>
          <wp:inline xmlns:a="http://schemas.openxmlformats.org/drawingml/2006/main" xmlns:pic="http://schemas.openxmlformats.org/drawingml/2006/picture">
            <wp:extent cx="2286000" cy="10731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_0_201504272147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3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附录二 DNSLA图像</w:t>
      </w:r>
    </w:p>
    <w:p>
      <w:r>
        <w:drawing>
          <wp:inline xmlns:a="http://schemas.openxmlformats.org/drawingml/2006/main" xmlns:pic="http://schemas.openxmlformats.org/drawingml/2006/picture">
            <wp:extent cx="4572000" cy="28581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o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8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