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NuviaMy Clinical Processing Schedule</w:t>
      </w:r>
    </w:p>
    <w:p>
      <w:pPr>
        <w:pStyle w:val="Subtitle"/>
      </w:pPr>
      <w:r>
        <w:t>Version NUVIA SCHEDULE 2026 10 15 v2</w:t>
      </w:r>
    </w:p>
    <w:p>
      <w:r>
        <w:t>One shared Schedule for the Data Processing Agreement and, where applicable, the HIPAA Business Associate Agreement. Complete the fields below before signing. Real clinical data remains unapproved until the provider agreements, safeguards and retention arrangements are verified and NuviaMy confirms approval in writing. Paying or signing alone does not provide that approval.</w:t>
      </w:r>
    </w:p>
    <w:p>
      <w:r>
        <w:t>Customer legal name and workspace: [NAME AND ID]. Authorized representative: [NAME AND TITLE]. Privacy and incident contact: [MONITORED EMAIL AND ALTERNATE]. Countries, states, profession and adult/minor scope: [SCOPE]. Executed DPA, applicable BAA or reason it is not required, and service agreement versions: [REFERENCES].</w:t>
      </w:r>
    </w:p>
    <w:p>
      <w:r>
        <w:t>Provider: Richard Andres Marles Bonilla, trading as NuviaMy, Calle Paciente Inglés 22, 50019 Zaragoza, Spain. Contract contact: marleswebinfo@gmail.com. Service contact: support@nuviamy.com.</w:t>
      </w:r>
    </w:p>
    <w:p>
      <w:pPr>
        <w:pStyle w:val="Heading1"/>
      </w:pPr>
      <w:r>
        <w:t>1 What we store and why</w:t>
      </w:r>
    </w:p>
    <w:p>
      <w:r>
        <w:t>NuviaMy handles practice records on the Customer’s instructions: collection, storage, authorized access, organization, signature, lawful correction, export, backup, recovery and agreed deletion. Processing is ongoing during the approved service and agreed exit period. The Customer makes clinical decisions and supplies lawful instructions.</w:t>
      </w:r>
    </w:p>
    <w:p>
      <w:r>
        <w:t>People covered: the approved patients, their representatives and emergency contacts, and relevant practice personnel. Data may include contact information, appointments, health history, diagnoses, treatment plans, ordinary progress notes and signatures, documents, billing records and access logs. Selected data and enabled features: [APPROVED CATEGORIES AND FEATURES]. Minors require the agreed authorization controls: [CONTROLS OR EXCLUDED].</w:t>
      </w:r>
    </w:p>
    <w:p>
      <w:r>
        <w:t>We do not use these clinical records for advertising, sale or independent AI training. Separately maintained HIPAA psychotherapy notes and records regulated by 42 CFR Part 2 are excluded unless separately agreed with suitable controls. Subscription card details are entered on Stripe’s hosted page.</w:t>
      </w:r>
    </w:p>
    <w:p>
      <w:pPr>
        <w:pStyle w:val="Heading1"/>
      </w:pPr>
      <w:r>
        <w:t>2 Who handles the data and where</w:t>
      </w:r>
    </w:p>
    <w:p>
      <w:r>
        <w:t>NuviaMy is administered from Spain. The current VPS is reported to be in Europe; the exact contracted location is pending confirmation. A future New York move requires review before migration. We do not promise that all data stays in the United States.</w:t>
      </w:r>
    </w:p>
    <w:p>
      <w:r>
        <w:t>Contabo VPS hosts the application, database and server logs. Cloudflare R2 stores documents and encrypted database backups. For both, exact legal entities, plans, storage/support locations and DPA and applicable BAA coverage remain pending verification.</w:t>
      </w:r>
    </w:p>
    <w:p>
      <w:r>
        <w:t>Cloudflare network services require confirmation of the actual traffic and contractual scope. Cloudflare Email Routing, Brevo SMTP and the operator’s Gmail inbox handle account/service communications; clinical content is not approved in general email or support. Their legal entities, locations, retention and agreements also require confirmation.</w:t>
      </w:r>
    </w:p>
    <w:p>
      <w:r>
        <w:t>Google Calendar, Gmail and Drive are optional integrations; clinical use requires approval of the specific account, service, data fields and agreements. Sentry is used for technical diagnostics where enabled; PHI is not authorized there. If clinical content cannot be excluded, stop that flow or approve suitable coverage first.</w:t>
      </w:r>
    </w:p>
    <w:p>
      <w:r>
        <w:t>Stripe handles SaaS subscription billing. Do not send diagnoses or clinical notes to Stripe. Any patient-billing use requires its own assessment. The role and contract must match the actual service.</w:t>
      </w:r>
    </w:p>
    <w:p>
      <w:r>
        <w:t>Authorized providers and integrations, recording for each its legal entity, exact service/plan, data, storage/support locations, executed contract references and approval date: [COMPLETE VERIFIED ENTRIES HERE]. Pending entries are not clinical-data authorizations. Any restricted transfer requires its actual legal basis and assessment: [REFERENCE OR NONE]. Naming an SCC does not execute one. Provider changes follow the DPA notice and objection process.</w:t>
      </w:r>
    </w:p>
    <w:p>
      <w:pPr>
        <w:pStyle w:val="Heading1"/>
      </w:pPr>
      <w:r>
        <w:t>3 How we protect data and handle problems</w:t>
      </w:r>
    </w:p>
    <w:p>
      <w:r>
        <w:t>Current controls include HTTPS, account permissions, session controls, audit records, signed-note locking and backups. Mandatory MFA is not currently enabled. Selected-field encryption does not establish full database, volume or document encryption, and a successful restore test does not establish guaranteed recovery times.</w:t>
      </w:r>
    </w:p>
    <w:p>
      <w:r>
        <w:t>Verified safeguards and responsibility split: [AUTHENTICATION, ACCESS, AUDIT, ENCRYPTION AND KEYS, UPLOADS, BACKUPS AND RECOVERY, SUPPORT AND INTEGRATIONS; EVIDENCE DATES AND LIMITATIONS]. Clinical/security review reference: [REFERENCE]. Any guaranteed recovery objective or extra incident deadline: [EXPRESSLY AGREED VALUE OR NONE]. Do not approve clinical scope while a required control remains unresolved.</w:t>
      </w:r>
    </w:p>
    <w:p>
      <w:r>
        <w:t>The Customer manages its staff permissions and devices. NuviaMy remains responsible for its own safeguards. Incident notice follows the DPA and applicable BAA, without waiting for a complete investigation. Verified incident contacts and a secure channel for details: [CONTACTS AND CHANNEL]. Do not send patient details to general support email.</w:t>
      </w:r>
    </w:p>
    <w:p>
      <w:r>
        <w:t>Individual rights requests go to the verified Customer contact. Assistance and response process: [PROCESS AND RESPONSIBLE PERSON]. Signed records retain their original, with lawful corrections linked rather than silently overwritten.</w:t>
      </w:r>
    </w:p>
    <w:p>
      <w:pPr>
        <w:pStyle w:val="Heading1"/>
      </w:pPr>
      <w:r>
        <w:t>4 What happens when the service ends</w:t>
      </w:r>
    </w:p>
    <w:p>
      <w:r>
        <w:t>Cancellation does not automatically delete records. The Customer identifies the retention rules for its profession, jurisdiction, patient ages and legal holds: [APPROVED INSTRUCTION]. We do not set a universal clinical retention period or promise indefinite storage.</w:t>
      </w:r>
    </w:p>
    <w:p>
      <w:r>
        <w:t>Complete before clinical approval: export window and format, including documents and signature/audit evidence [DETAILS]; return or deletion choice [CHOICE]; active-data deletion deadline [PERIOD]; verified maximum backup expiry and deletion on restore [PERIOD AND PROCESS]; legally required retention and restricted access [DETAILS OR NONE]; completion confirmation [METHOD]. Any infeasible return/destruction remains protected and limited under the governing agreements.</w:t>
      </w:r>
    </w:p>
    <w:p>
      <w:r>
        <w:t>Both parties approve only the completed scope. This Schedule does not replace the agreements with providers or amend prices and cancellation terms. Attach this exact version to the executed contracts.</w:t>
      </w:r>
    </w:p>
    <w:p>
      <w:r>
        <w:t>Customer legal name and authorized representative: [NAME AND TITLE]. Signature: ____________________ Date: __________</w:t>
      </w:r>
    </w:p>
    <w:p>
      <w:pPr>
        <w:keepNext/>
      </w:pPr>
      <w:r>
        <w:rPr>
          <w:b/>
        </w:rPr>
        <w:t>For NuviaMy, Richard Andres Marles Bonilla. Signature: ____________________ Date: __________</w:t>
      </w:r>
    </w:p>
    <w:p>
      <w:pPr>
        <w:keepNext w:val="0"/>
      </w:pPr>
      <w:r>
        <w:t>Clinical approval reference and start date: [REFERENCE AND DATE OR NOT APPROVED].</w:t>
      </w:r>
    </w:p>
    <w:sectPr w:rsidR="00FC693F" w:rsidRPr="0006063C" w:rsidSect="00034616">
      <w:footerReference w:type="default" r:id="rId9"/>
      <w:pgSz w:w="11909" w:h="16834"/>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NuviaMy  |  clinical processing schedule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NuviaMy Clinical Processing Schedule</dc:title>
  <dc:subject>Proposed agreement for completion and execution</dc:subject>
  <dc:creator>Richard Andres Marles Bonilla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