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718096"/>
          <w:sz w:val="18"/>
        </w:rPr>
        <w:t>CANDIDATURES STRATÉGIQUES • RICHARD BUSSON</w:t>
        <w:br/>
        <w:t>richard.busson@kairos-paye.fr • 09 39 20 08 70</w:t>
      </w:r>
    </w:p>
    <w:p>
      <w:pPr>
        <w:spacing w:before="240" w:after="80"/>
        <w:jc w:val="left"/>
      </w:pPr>
      <w:r>
        <w:rPr>
          <w:b/>
          <w:color w:val="1A365D"/>
          <w:sz w:val="44"/>
        </w:rPr>
        <w:t>Écosystème ROME, Prompts d'Optimisation IA &amp; Agent Autonome France Travail</w:t>
      </w:r>
    </w:p>
    <w:p>
      <w:pPr>
        <w:spacing w:after="360"/>
      </w:pPr>
      <w:r>
        <w:rPr>
          <w:color w:val="2B6CB0"/>
          <w:sz w:val="23"/>
        </w:rPr>
        <w:t>Dossier d'expertise de référence : Cartographie systémique des métiers de la Paie &amp; RH, protocoles de qualification, et automatisation intégrale de postulation.</w:t>
      </w:r>
    </w:p>
    <w:p>
      <w:pPr>
        <w:spacing w:after="120"/>
      </w:pPr>
    </w:p>
    <w:p>
      <w:pPr>
        <w:spacing w:before="280" w:after="120"/>
      </w:pPr>
      <w:r>
        <w:rPr>
          <w:b/>
          <w:color w:val="1A365D"/>
          <w:sz w:val="30"/>
        </w:rPr>
        <w:t>1. Profil &amp; Piliers d'Excellence du Candidat</w:t>
      </w:r>
    </w:p>
    <w:p>
      <w:r>
        <w:t>Richard BUSSON (59 ans) présente un profil senior expert cumulant plus de 15 années d'expérience en Direction des Ressources Humaines, supervision de la paie multi-sites et ingénierie de formation certifiante Qualiopi. Ce profil ouvre droit aux aides à l'embauche pour demandeur d'emploi senior, avec une disponibilité immédiate et une mobilité sur le bassin Hauts-de-France / Île-de-France ainsi que sur les façades maritimes (Atlantique et Méditerranée).</w:t>
      </w:r>
    </w:p>
    <w:p>
      <w:pPr>
        <w:pStyle w:val="ListBullet"/>
      </w:pPr>
      <w:r>
        <w:t>• Direction RH &amp; Paie (580 collaborateurs) : Pilotage global des ressources humaines, administration du personnel, supervision de la paie et DSN, gestion de crise et sécurisation juridique.</w:t>
      </w:r>
    </w:p>
    <w:p>
      <w:pPr>
        <w:pStyle w:val="ListBullet"/>
      </w:pPr>
      <w:r>
        <w:t>• Dialogue Social &amp; Relations Collectives : Animation des instances (CSE, CE, DP), négociations d'accords d'entreprise et maintien d'un climat social constructif.</w:t>
      </w:r>
    </w:p>
    <w:p>
      <w:pPr>
        <w:pStyle w:val="ListBullet"/>
      </w:pPr>
      <w:r>
        <w:t>• Ingénierie Pédagogique &amp; Qualiopi : Dirigeant d'un organisme certifié (ICPF QUA007374), concepteur d'un parcours certifiant de 758h préparant au Titre Professionnel Gestionnaire de Paie (TP-01254, millésime 04) et intervenant Afpa.</w:t>
      </w:r>
    </w:p>
    <w:p>
      <w:pPr>
        <w:pStyle w:val="ListBullet"/>
      </w:pPr>
      <w:r>
        <w:t>• Outils &amp; Systèmes : Maîtrise avancée de Silae, de la DSN, de l'outil Métis (Afpa) et modélisation experte sur Excel.</w:t>
      </w:r>
    </w:p>
    <w:p>
      <w:pPr>
        <w:spacing w:before="320" w:after="120"/>
      </w:pPr>
      <w:r>
        <w:rPr>
          <w:b/>
          <w:color w:val="1A365D"/>
          <w:sz w:val="30"/>
        </w:rPr>
        <w:t>2. Cartographie de la Constellation des Métiers ROME</w:t>
      </w:r>
    </w:p>
    <w:p>
      <w:r>
        <w:t>La gestion de la paie et les ressources humaines constituent un binôme central fusionnel (cœur technique d'un côté, cœur managérial et stratégique de l'autre), entouré de 5 pôles satellites d'expertise métier selon la nomenclature France Travail ROME :</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fill="1A365D"/>
            <w:tcMar>
              <w:top w:w="120" w:type="dxa"/>
              <w:bottom w:w="120" w:type="dxa"/>
              <w:left w:w="120" w:type="dxa"/>
              <w:right w:w="120" w:type="dxa"/>
            </w:tcMar>
          </w:tcPr>
          <w:p>
            <w:r>
              <w:rPr>
                <w:b/>
                <w:color w:val="FFFFFF"/>
                <w:sz w:val="19"/>
              </w:rPr>
              <w:t>Code ROME</w:t>
            </w:r>
          </w:p>
        </w:tc>
        <w:tc>
          <w:tcPr>
            <w:tcW w:type="dxa" w:w="2592"/>
            <w:shd w:fill="1A365D"/>
            <w:tcMar>
              <w:top w:w="120" w:type="dxa"/>
              <w:bottom w:w="120" w:type="dxa"/>
              <w:left w:w="120" w:type="dxa"/>
              <w:right w:w="120" w:type="dxa"/>
            </w:tcMar>
          </w:tcPr>
          <w:p>
            <w:r>
              <w:rPr>
                <w:b/>
                <w:color w:val="FFFFFF"/>
                <w:sz w:val="19"/>
              </w:rPr>
              <w:t>Intitulé Officiel</w:t>
            </w:r>
          </w:p>
        </w:tc>
        <w:tc>
          <w:tcPr>
            <w:tcW w:type="dxa" w:w="2592"/>
            <w:shd w:fill="1A365D"/>
            <w:tcMar>
              <w:top w:w="120" w:type="dxa"/>
              <w:bottom w:w="120" w:type="dxa"/>
              <w:left w:w="120" w:type="dxa"/>
              <w:right w:w="120" w:type="dxa"/>
            </w:tcMar>
          </w:tcPr>
          <w:p>
            <w:r>
              <w:rPr>
                <w:b/>
                <w:color w:val="FFFFFF"/>
                <w:sz w:val="19"/>
              </w:rPr>
              <w:t>Rôle dans l'Écosystème</w:t>
            </w:r>
          </w:p>
        </w:tc>
        <w:tc>
          <w:tcPr>
            <w:tcW w:type="dxa" w:w="2160"/>
            <w:shd w:fill="1A365D"/>
            <w:tcMar>
              <w:top w:w="120" w:type="dxa"/>
              <w:bottom w:w="120" w:type="dxa"/>
              <w:left w:w="120" w:type="dxa"/>
              <w:right w:w="120" w:type="dxa"/>
            </w:tcMar>
          </w:tcPr>
          <w:p>
            <w:r>
              <w:rPr>
                <w:b/>
                <w:color w:val="FFFFFF"/>
                <w:sz w:val="19"/>
              </w:rPr>
              <w:t>Outils &amp; Expertises</w:t>
            </w:r>
          </w:p>
        </w:tc>
        <w:tc>
          <w:tcPr>
            <w:tcW w:type="dxa" w:w="1296"/>
            <w:shd w:fill="1A365D"/>
            <w:tcMar>
              <w:top w:w="120" w:type="dxa"/>
              <w:bottom w:w="120" w:type="dxa"/>
              <w:left w:w="120" w:type="dxa"/>
              <w:right w:w="120" w:type="dxa"/>
            </w:tcMar>
          </w:tcPr>
          <w:p>
            <w:r>
              <w:rPr>
                <w:b/>
                <w:color w:val="FFFFFF"/>
                <w:sz w:val="19"/>
              </w:rPr>
              <w:t>Proximité</w:t>
            </w:r>
          </w:p>
        </w:tc>
      </w:tr>
      <w:tr>
        <w:tc>
          <w:tcPr>
            <w:tcW w:type="dxa" w:w="1440"/>
            <w:shd w:fill="FFFFFF"/>
            <w:tcMar>
              <w:top w:w="80" w:type="dxa"/>
              <w:bottom w:w="80" w:type="dxa"/>
              <w:left w:w="100" w:type="dxa"/>
              <w:right w:w="100" w:type="dxa"/>
            </w:tcMar>
          </w:tcPr>
          <w:p>
            <w:r>
              <w:rPr>
                <w:b/>
                <w:color w:val="1A365D"/>
                <w:sz w:val="17"/>
              </w:rPr>
              <w:t>M1203</w:t>
            </w:r>
          </w:p>
        </w:tc>
        <w:tc>
          <w:tcPr>
            <w:tcW w:type="dxa" w:w="2592"/>
            <w:shd w:fill="FFFFFF"/>
            <w:tcMar>
              <w:top w:w="80" w:type="dxa"/>
              <w:bottom w:w="80" w:type="dxa"/>
              <w:left w:w="100" w:type="dxa"/>
              <w:right w:w="100" w:type="dxa"/>
            </w:tcMar>
          </w:tcPr>
          <w:p>
            <w:r>
              <w:rPr>
                <w:sz w:val="17"/>
              </w:rPr>
              <w:t>Gestionnaire de Paie et Droit Social</w:t>
            </w:r>
          </w:p>
        </w:tc>
        <w:tc>
          <w:tcPr>
            <w:tcW w:type="dxa" w:w="2592"/>
            <w:shd w:fill="FFFFFF"/>
            <w:tcMar>
              <w:top w:w="80" w:type="dxa"/>
              <w:bottom w:w="80" w:type="dxa"/>
              <w:left w:w="100" w:type="dxa"/>
              <w:right w:w="100" w:type="dxa"/>
            </w:tcMar>
          </w:tcPr>
          <w:p>
            <w:r>
              <w:rPr>
                <w:sz w:val="17"/>
              </w:rPr>
              <w:t>Cœur Opérationnel : bulletin, DSN, charges, entrées/sorties</w:t>
            </w:r>
          </w:p>
        </w:tc>
        <w:tc>
          <w:tcPr>
            <w:tcW w:type="dxa" w:w="2160"/>
            <w:shd w:fill="FFFFFF"/>
            <w:tcMar>
              <w:top w:w="80" w:type="dxa"/>
              <w:bottom w:w="80" w:type="dxa"/>
              <w:left w:w="100" w:type="dxa"/>
              <w:right w:w="100" w:type="dxa"/>
            </w:tcMar>
          </w:tcPr>
          <w:p>
            <w:r>
              <w:rPr>
                <w:sz w:val="17"/>
              </w:rPr>
              <w:t>Silae, DSN, Net-Entr.</w:t>
            </w:r>
          </w:p>
        </w:tc>
        <w:tc>
          <w:tcPr>
            <w:tcW w:type="dxa" w:w="1296"/>
            <w:shd w:fill="FFFFFF"/>
            <w:tcMar>
              <w:top w:w="80" w:type="dxa"/>
              <w:bottom w:w="80" w:type="dxa"/>
              <w:left w:w="100" w:type="dxa"/>
              <w:right w:w="100" w:type="dxa"/>
            </w:tcMar>
          </w:tcPr>
          <w:p>
            <w:r>
              <w:rPr>
                <w:b/>
                <w:color w:val="2B6CB0"/>
                <w:sz w:val="17"/>
              </w:rPr>
              <w:t>100% (Cœur)</w:t>
            </w:r>
          </w:p>
        </w:tc>
      </w:tr>
      <w:tr>
        <w:tc>
          <w:tcPr>
            <w:tcW w:type="dxa" w:w="1440"/>
            <w:shd w:fill="F7FAFC"/>
            <w:tcMar>
              <w:top w:w="80" w:type="dxa"/>
              <w:bottom w:w="80" w:type="dxa"/>
              <w:left w:w="100" w:type="dxa"/>
              <w:right w:w="100" w:type="dxa"/>
            </w:tcMar>
          </w:tcPr>
          <w:p>
            <w:r>
              <w:rPr>
                <w:b/>
                <w:color w:val="1A365D"/>
                <w:sz w:val="17"/>
              </w:rPr>
              <w:t>M1503</w:t>
            </w:r>
          </w:p>
        </w:tc>
        <w:tc>
          <w:tcPr>
            <w:tcW w:type="dxa" w:w="2592"/>
            <w:shd w:fill="F7FAFC"/>
            <w:tcMar>
              <w:top w:w="80" w:type="dxa"/>
              <w:bottom w:w="80" w:type="dxa"/>
              <w:left w:w="100" w:type="dxa"/>
              <w:right w:w="100" w:type="dxa"/>
            </w:tcMar>
          </w:tcPr>
          <w:p>
            <w:r>
              <w:rPr>
                <w:sz w:val="17"/>
              </w:rPr>
              <w:t>Responsable RH et Paie / RRH</w:t>
            </w:r>
          </w:p>
        </w:tc>
        <w:tc>
          <w:tcPr>
            <w:tcW w:type="dxa" w:w="2592"/>
            <w:shd w:fill="F7FAFC"/>
            <w:tcMar>
              <w:top w:w="80" w:type="dxa"/>
              <w:bottom w:w="80" w:type="dxa"/>
              <w:left w:w="100" w:type="dxa"/>
              <w:right w:w="100" w:type="dxa"/>
            </w:tcMar>
          </w:tcPr>
          <w:p>
            <w:r>
              <w:rPr>
                <w:sz w:val="17"/>
              </w:rPr>
              <w:t>Cœur Stratégique : masse salariale, dialogue CSE, gestion RH</w:t>
            </w:r>
          </w:p>
        </w:tc>
        <w:tc>
          <w:tcPr>
            <w:tcW w:type="dxa" w:w="2160"/>
            <w:shd w:fill="F7FAFC"/>
            <w:tcMar>
              <w:top w:w="80" w:type="dxa"/>
              <w:bottom w:w="80" w:type="dxa"/>
              <w:left w:w="100" w:type="dxa"/>
              <w:right w:w="100" w:type="dxa"/>
            </w:tcMar>
          </w:tcPr>
          <w:p>
            <w:r>
              <w:rPr>
                <w:sz w:val="17"/>
              </w:rPr>
              <w:t>Silae, CSE, BDESE</w:t>
            </w:r>
          </w:p>
        </w:tc>
        <w:tc>
          <w:tcPr>
            <w:tcW w:type="dxa" w:w="1296"/>
            <w:shd w:fill="F7FAFC"/>
            <w:tcMar>
              <w:top w:w="80" w:type="dxa"/>
              <w:bottom w:w="80" w:type="dxa"/>
              <w:left w:w="100" w:type="dxa"/>
              <w:right w:w="100" w:type="dxa"/>
            </w:tcMar>
          </w:tcPr>
          <w:p>
            <w:r>
              <w:rPr>
                <w:b/>
                <w:color w:val="2B6CB0"/>
                <w:sz w:val="17"/>
              </w:rPr>
              <w:t>100% (Cœur)</w:t>
            </w:r>
          </w:p>
        </w:tc>
      </w:tr>
      <w:tr>
        <w:tc>
          <w:tcPr>
            <w:tcW w:type="dxa" w:w="1440"/>
            <w:shd w:fill="FFFFFF"/>
            <w:tcMar>
              <w:top w:w="80" w:type="dxa"/>
              <w:bottom w:w="80" w:type="dxa"/>
              <w:left w:w="100" w:type="dxa"/>
              <w:right w:w="100" w:type="dxa"/>
            </w:tcMar>
          </w:tcPr>
          <w:p>
            <w:r>
              <w:rPr>
                <w:b/>
                <w:color w:val="1A365D"/>
                <w:sz w:val="17"/>
              </w:rPr>
              <w:t>M1501</w:t>
            </w:r>
          </w:p>
        </w:tc>
        <w:tc>
          <w:tcPr>
            <w:tcW w:type="dxa" w:w="2592"/>
            <w:shd w:fill="FFFFFF"/>
            <w:tcMar>
              <w:top w:w="80" w:type="dxa"/>
              <w:bottom w:w="80" w:type="dxa"/>
              <w:left w:w="100" w:type="dxa"/>
              <w:right w:w="100" w:type="dxa"/>
            </w:tcMar>
          </w:tcPr>
          <w:p>
            <w:r>
              <w:rPr>
                <w:sz w:val="17"/>
              </w:rPr>
              <w:t>Chargé RH / Gestionnaire ADP</w:t>
            </w:r>
          </w:p>
        </w:tc>
        <w:tc>
          <w:tcPr>
            <w:tcW w:type="dxa" w:w="2592"/>
            <w:shd w:fill="FFFFFF"/>
            <w:tcMar>
              <w:top w:w="80" w:type="dxa"/>
              <w:bottom w:w="80" w:type="dxa"/>
              <w:left w:w="100" w:type="dxa"/>
              <w:right w:w="100" w:type="dxa"/>
            </w:tcMar>
          </w:tcPr>
          <w:p>
            <w:r>
              <w:rPr>
                <w:sz w:val="17"/>
              </w:rPr>
              <w:t>Gestion administrative : contrats, temps, absences, mutuelle</w:t>
            </w:r>
          </w:p>
        </w:tc>
        <w:tc>
          <w:tcPr>
            <w:tcW w:type="dxa" w:w="2160"/>
            <w:shd w:fill="FFFFFF"/>
            <w:tcMar>
              <w:top w:w="80" w:type="dxa"/>
              <w:bottom w:w="80" w:type="dxa"/>
              <w:left w:w="100" w:type="dxa"/>
              <w:right w:w="100" w:type="dxa"/>
            </w:tcMar>
          </w:tcPr>
          <w:p>
            <w:r>
              <w:rPr>
                <w:sz w:val="17"/>
              </w:rPr>
              <w:t>SIRH ADP, GTA, DPAE</w:t>
            </w:r>
          </w:p>
        </w:tc>
        <w:tc>
          <w:tcPr>
            <w:tcW w:type="dxa" w:w="1296"/>
            <w:shd w:fill="FFFFFF"/>
            <w:tcMar>
              <w:top w:w="80" w:type="dxa"/>
              <w:bottom w:w="80" w:type="dxa"/>
              <w:left w:w="100" w:type="dxa"/>
              <w:right w:w="100" w:type="dxa"/>
            </w:tcMar>
          </w:tcPr>
          <w:p>
            <w:r>
              <w:rPr>
                <w:b/>
                <w:color w:val="2B6CB0"/>
                <w:sz w:val="17"/>
              </w:rPr>
              <w:t>90% (Amont)</w:t>
            </w:r>
          </w:p>
        </w:tc>
      </w:tr>
      <w:tr>
        <w:tc>
          <w:tcPr>
            <w:tcW w:type="dxa" w:w="1440"/>
            <w:shd w:fill="F7FAFC"/>
            <w:tcMar>
              <w:top w:w="80" w:type="dxa"/>
              <w:bottom w:w="80" w:type="dxa"/>
              <w:left w:w="100" w:type="dxa"/>
              <w:right w:w="100" w:type="dxa"/>
            </w:tcMar>
          </w:tcPr>
          <w:p>
            <w:r>
              <w:rPr>
                <w:b/>
                <w:color w:val="1A365D"/>
                <w:sz w:val="17"/>
              </w:rPr>
              <w:t>K2111</w:t>
            </w:r>
          </w:p>
        </w:tc>
        <w:tc>
          <w:tcPr>
            <w:tcW w:type="dxa" w:w="2592"/>
            <w:shd w:fill="F7FAFC"/>
            <w:tcMar>
              <w:top w:w="80" w:type="dxa"/>
              <w:bottom w:w="80" w:type="dxa"/>
              <w:left w:w="100" w:type="dxa"/>
              <w:right w:w="100" w:type="dxa"/>
            </w:tcMar>
          </w:tcPr>
          <w:p>
            <w:r>
              <w:rPr>
                <w:sz w:val="17"/>
              </w:rPr>
              <w:t>Formateur Paie &amp; Droit Social</w:t>
            </w:r>
          </w:p>
        </w:tc>
        <w:tc>
          <w:tcPr>
            <w:tcW w:type="dxa" w:w="2592"/>
            <w:shd w:fill="F7FAFC"/>
            <w:tcMar>
              <w:top w:w="80" w:type="dxa"/>
              <w:bottom w:w="80" w:type="dxa"/>
              <w:left w:w="100" w:type="dxa"/>
              <w:right w:w="100" w:type="dxa"/>
            </w:tcMar>
          </w:tcPr>
          <w:p>
            <w:r>
              <w:rPr>
                <w:sz w:val="17"/>
              </w:rPr>
              <w:t>Transmission &amp; Certification : Titre Pro GP (TP-01254)</w:t>
            </w:r>
          </w:p>
        </w:tc>
        <w:tc>
          <w:tcPr>
            <w:tcW w:type="dxa" w:w="2160"/>
            <w:shd w:fill="F7FAFC"/>
            <w:tcMar>
              <w:top w:w="80" w:type="dxa"/>
              <w:bottom w:w="80" w:type="dxa"/>
              <w:left w:w="100" w:type="dxa"/>
              <w:right w:w="100" w:type="dxa"/>
            </w:tcMar>
          </w:tcPr>
          <w:p>
            <w:r>
              <w:rPr>
                <w:sz w:val="17"/>
              </w:rPr>
              <w:t>Silae, Métis, Qualiopi</w:t>
            </w:r>
          </w:p>
        </w:tc>
        <w:tc>
          <w:tcPr>
            <w:tcW w:type="dxa" w:w="1296"/>
            <w:shd w:fill="F7FAFC"/>
            <w:tcMar>
              <w:top w:w="80" w:type="dxa"/>
              <w:bottom w:w="80" w:type="dxa"/>
              <w:left w:w="100" w:type="dxa"/>
              <w:right w:w="100" w:type="dxa"/>
            </w:tcMar>
          </w:tcPr>
          <w:p>
            <w:r>
              <w:rPr>
                <w:b/>
                <w:color w:val="2B6CB0"/>
                <w:sz w:val="17"/>
              </w:rPr>
              <w:t>95% (Expert)</w:t>
            </w:r>
          </w:p>
        </w:tc>
      </w:tr>
      <w:tr>
        <w:tc>
          <w:tcPr>
            <w:tcW w:type="dxa" w:w="1440"/>
            <w:shd w:fill="FFFFFF"/>
            <w:tcMar>
              <w:top w:w="80" w:type="dxa"/>
              <w:bottom w:w="80" w:type="dxa"/>
              <w:left w:w="100" w:type="dxa"/>
              <w:right w:w="100" w:type="dxa"/>
            </w:tcMar>
          </w:tcPr>
          <w:p>
            <w:r>
              <w:rPr>
                <w:b/>
                <w:color w:val="1A365D"/>
                <w:sz w:val="17"/>
              </w:rPr>
              <w:t>K2102</w:t>
            </w:r>
          </w:p>
        </w:tc>
        <w:tc>
          <w:tcPr>
            <w:tcW w:type="dxa" w:w="2592"/>
            <w:shd w:fill="FFFFFF"/>
            <w:tcMar>
              <w:top w:w="80" w:type="dxa"/>
              <w:bottom w:w="80" w:type="dxa"/>
              <w:left w:w="100" w:type="dxa"/>
              <w:right w:w="100" w:type="dxa"/>
            </w:tcMar>
          </w:tcPr>
          <w:p>
            <w:r>
              <w:rPr>
                <w:sz w:val="17"/>
              </w:rPr>
              <w:t>Coordination Pédagogique RH</w:t>
            </w:r>
          </w:p>
        </w:tc>
        <w:tc>
          <w:tcPr>
            <w:tcW w:type="dxa" w:w="2592"/>
            <w:shd w:fill="FFFFFF"/>
            <w:tcMar>
              <w:top w:w="80" w:type="dxa"/>
              <w:bottom w:w="80" w:type="dxa"/>
              <w:left w:w="100" w:type="dxa"/>
              <w:right w:w="100" w:type="dxa"/>
            </w:tcMar>
          </w:tcPr>
          <w:p>
            <w:r>
              <w:rPr>
                <w:sz w:val="17"/>
              </w:rPr>
              <w:t>Ingénierie de certification et conformité RNQ Qualiopi</w:t>
            </w:r>
          </w:p>
        </w:tc>
        <w:tc>
          <w:tcPr>
            <w:tcW w:type="dxa" w:w="2160"/>
            <w:shd w:fill="FFFFFF"/>
            <w:tcMar>
              <w:top w:w="80" w:type="dxa"/>
              <w:bottom w:w="80" w:type="dxa"/>
              <w:left w:w="100" w:type="dxa"/>
              <w:right w:w="100" w:type="dxa"/>
            </w:tcMar>
          </w:tcPr>
          <w:p>
            <w:r>
              <w:rPr>
                <w:sz w:val="17"/>
              </w:rPr>
              <w:t>LMS, REAC, ICPF</w:t>
            </w:r>
          </w:p>
        </w:tc>
        <w:tc>
          <w:tcPr>
            <w:tcW w:type="dxa" w:w="1296"/>
            <w:shd w:fill="FFFFFF"/>
            <w:tcMar>
              <w:top w:w="80" w:type="dxa"/>
              <w:bottom w:w="80" w:type="dxa"/>
              <w:left w:w="100" w:type="dxa"/>
              <w:right w:w="100" w:type="dxa"/>
            </w:tcMar>
          </w:tcPr>
          <w:p>
            <w:r>
              <w:rPr>
                <w:b/>
                <w:color w:val="2B6CB0"/>
                <w:sz w:val="17"/>
              </w:rPr>
              <w:t>80% (Pédag.)</w:t>
            </w:r>
          </w:p>
        </w:tc>
      </w:tr>
      <w:tr>
        <w:tc>
          <w:tcPr>
            <w:tcW w:type="dxa" w:w="1440"/>
            <w:shd w:fill="F7FAFC"/>
            <w:tcMar>
              <w:top w:w="80" w:type="dxa"/>
              <w:bottom w:w="80" w:type="dxa"/>
              <w:left w:w="100" w:type="dxa"/>
              <w:right w:w="100" w:type="dxa"/>
            </w:tcMar>
          </w:tcPr>
          <w:p>
            <w:r>
              <w:rPr>
                <w:b/>
                <w:color w:val="1A365D"/>
                <w:sz w:val="17"/>
              </w:rPr>
              <w:t>M1202</w:t>
            </w:r>
          </w:p>
        </w:tc>
        <w:tc>
          <w:tcPr>
            <w:tcW w:type="dxa" w:w="2592"/>
            <w:shd w:fill="F7FAFC"/>
            <w:tcMar>
              <w:top w:w="80" w:type="dxa"/>
              <w:bottom w:w="80" w:type="dxa"/>
              <w:left w:w="100" w:type="dxa"/>
              <w:right w:w="100" w:type="dxa"/>
            </w:tcMar>
          </w:tcPr>
          <w:p>
            <w:r>
              <w:rPr>
                <w:sz w:val="17"/>
              </w:rPr>
              <w:t>Contrôleur de Gestion Sociale</w:t>
            </w:r>
          </w:p>
        </w:tc>
        <w:tc>
          <w:tcPr>
            <w:tcW w:type="dxa" w:w="2592"/>
            <w:shd w:fill="F7FAFC"/>
            <w:tcMar>
              <w:top w:w="80" w:type="dxa"/>
              <w:bottom w:w="80" w:type="dxa"/>
              <w:left w:w="100" w:type="dxa"/>
              <w:right w:w="100" w:type="dxa"/>
            </w:tcMar>
          </w:tcPr>
          <w:p>
            <w:r>
              <w:rPr>
                <w:sz w:val="17"/>
              </w:rPr>
              <w:t>Pilotage chiffré : effets noria/report, masse salariale, BDESE</w:t>
            </w:r>
          </w:p>
        </w:tc>
        <w:tc>
          <w:tcPr>
            <w:tcW w:type="dxa" w:w="2160"/>
            <w:shd w:fill="F7FAFC"/>
            <w:tcMar>
              <w:top w:w="80" w:type="dxa"/>
              <w:bottom w:w="80" w:type="dxa"/>
              <w:left w:w="100" w:type="dxa"/>
              <w:right w:w="100" w:type="dxa"/>
            </w:tcMar>
          </w:tcPr>
          <w:p>
            <w:r>
              <w:rPr>
                <w:sz w:val="17"/>
              </w:rPr>
              <w:t>Excel expert, Power BI</w:t>
            </w:r>
          </w:p>
        </w:tc>
        <w:tc>
          <w:tcPr>
            <w:tcW w:type="dxa" w:w="1296"/>
            <w:shd w:fill="F7FAFC"/>
            <w:tcMar>
              <w:top w:w="80" w:type="dxa"/>
              <w:bottom w:w="80" w:type="dxa"/>
              <w:left w:w="100" w:type="dxa"/>
              <w:right w:w="100" w:type="dxa"/>
            </w:tcMar>
          </w:tcPr>
          <w:p>
            <w:r>
              <w:rPr>
                <w:b/>
                <w:color w:val="2B6CB0"/>
                <w:sz w:val="17"/>
              </w:rPr>
              <w:t>90% (Aval)</w:t>
            </w:r>
          </w:p>
        </w:tc>
      </w:tr>
      <w:tr>
        <w:tc>
          <w:tcPr>
            <w:tcW w:type="dxa" w:w="1440"/>
            <w:shd w:fill="FFFFFF"/>
            <w:tcMar>
              <w:top w:w="80" w:type="dxa"/>
              <w:bottom w:w="80" w:type="dxa"/>
              <w:left w:w="100" w:type="dxa"/>
              <w:right w:w="100" w:type="dxa"/>
            </w:tcMar>
          </w:tcPr>
          <w:p>
            <w:r>
              <w:rPr>
                <w:b/>
                <w:color w:val="1A365D"/>
                <w:sz w:val="17"/>
              </w:rPr>
              <w:t>M1206</w:t>
            </w:r>
          </w:p>
        </w:tc>
        <w:tc>
          <w:tcPr>
            <w:tcW w:type="dxa" w:w="2592"/>
            <w:shd w:fill="FFFFFF"/>
            <w:tcMar>
              <w:top w:w="80" w:type="dxa"/>
              <w:bottom w:w="80" w:type="dxa"/>
              <w:left w:w="100" w:type="dxa"/>
              <w:right w:w="100" w:type="dxa"/>
            </w:tcMar>
          </w:tcPr>
          <w:p>
            <w:r>
              <w:rPr>
                <w:sz w:val="17"/>
              </w:rPr>
              <w:t>Resp. Pôle Paie &amp; Compta</w:t>
            </w:r>
          </w:p>
        </w:tc>
        <w:tc>
          <w:tcPr>
            <w:tcW w:type="dxa" w:w="2592"/>
            <w:shd w:fill="FFFFFF"/>
            <w:tcMar>
              <w:top w:w="80" w:type="dxa"/>
              <w:bottom w:w="80" w:type="dxa"/>
              <w:left w:w="100" w:type="dxa"/>
              <w:right w:w="100" w:type="dxa"/>
            </w:tcMar>
          </w:tcPr>
          <w:p>
            <w:r>
              <w:rPr>
                <w:sz w:val="17"/>
              </w:rPr>
              <w:t>Supervision technique : OD de paie, comptes 64/42/43, bilan</w:t>
            </w:r>
          </w:p>
        </w:tc>
        <w:tc>
          <w:tcPr>
            <w:tcW w:type="dxa" w:w="2160"/>
            <w:shd w:fill="FFFFFF"/>
            <w:tcMar>
              <w:top w:w="80" w:type="dxa"/>
              <w:bottom w:w="80" w:type="dxa"/>
              <w:left w:w="100" w:type="dxa"/>
              <w:right w:w="100" w:type="dxa"/>
            </w:tcMar>
          </w:tcPr>
          <w:p>
            <w:r>
              <w:rPr>
                <w:sz w:val="17"/>
              </w:rPr>
              <w:t>Sage, Cegid, Silae</w:t>
            </w:r>
          </w:p>
        </w:tc>
        <w:tc>
          <w:tcPr>
            <w:tcW w:type="dxa" w:w="1296"/>
            <w:shd w:fill="FFFFFF"/>
            <w:tcMar>
              <w:top w:w="80" w:type="dxa"/>
              <w:bottom w:w="80" w:type="dxa"/>
              <w:left w:w="100" w:type="dxa"/>
              <w:right w:w="100" w:type="dxa"/>
            </w:tcMar>
          </w:tcPr>
          <w:p>
            <w:r>
              <w:rPr>
                <w:b/>
                <w:color w:val="2B6CB0"/>
                <w:sz w:val="17"/>
              </w:rPr>
              <w:t>95% (Évolution)</w:t>
            </w:r>
          </w:p>
        </w:tc>
      </w:tr>
      <w:tr>
        <w:tc>
          <w:tcPr>
            <w:tcW w:type="dxa" w:w="1440"/>
            <w:shd w:fill="F7FAFC"/>
            <w:tcMar>
              <w:top w:w="80" w:type="dxa"/>
              <w:bottom w:w="80" w:type="dxa"/>
              <w:left w:w="100" w:type="dxa"/>
              <w:right w:w="100" w:type="dxa"/>
            </w:tcMar>
          </w:tcPr>
          <w:p>
            <w:r>
              <w:rPr>
                <w:b/>
                <w:color w:val="1A365D"/>
                <w:sz w:val="17"/>
              </w:rPr>
              <w:t>K1903</w:t>
            </w:r>
          </w:p>
        </w:tc>
        <w:tc>
          <w:tcPr>
            <w:tcW w:type="dxa" w:w="2592"/>
            <w:shd w:fill="F7FAFC"/>
            <w:tcMar>
              <w:top w:w="80" w:type="dxa"/>
              <w:bottom w:w="80" w:type="dxa"/>
              <w:left w:w="100" w:type="dxa"/>
              <w:right w:w="100" w:type="dxa"/>
            </w:tcMar>
          </w:tcPr>
          <w:p>
            <w:r>
              <w:rPr>
                <w:sz w:val="17"/>
              </w:rPr>
              <w:t>Juriste Droit Social</w:t>
            </w:r>
          </w:p>
        </w:tc>
        <w:tc>
          <w:tcPr>
            <w:tcW w:type="dxa" w:w="2592"/>
            <w:shd w:fill="F7FAFC"/>
            <w:tcMar>
              <w:top w:w="80" w:type="dxa"/>
              <w:bottom w:w="80" w:type="dxa"/>
              <w:left w:w="100" w:type="dxa"/>
              <w:right w:w="100" w:type="dxa"/>
            </w:tcMar>
          </w:tcPr>
          <w:p>
            <w:r>
              <w:rPr>
                <w:sz w:val="17"/>
              </w:rPr>
              <w:t>Sécurisation juridique : accords collectifs, CSE, contentieux</w:t>
            </w:r>
          </w:p>
        </w:tc>
        <w:tc>
          <w:tcPr>
            <w:tcW w:type="dxa" w:w="2160"/>
            <w:shd w:fill="F7FAFC"/>
            <w:tcMar>
              <w:top w:w="80" w:type="dxa"/>
              <w:bottom w:w="80" w:type="dxa"/>
              <w:left w:w="100" w:type="dxa"/>
              <w:right w:w="100" w:type="dxa"/>
            </w:tcMar>
          </w:tcPr>
          <w:p>
            <w:r>
              <w:rPr>
                <w:sz w:val="17"/>
              </w:rPr>
              <w:t>Code du travail, Dalloz</w:t>
            </w:r>
          </w:p>
        </w:tc>
        <w:tc>
          <w:tcPr>
            <w:tcW w:type="dxa" w:w="1296"/>
            <w:shd w:fill="F7FAFC"/>
            <w:tcMar>
              <w:top w:w="80" w:type="dxa"/>
              <w:bottom w:w="80" w:type="dxa"/>
              <w:left w:w="100" w:type="dxa"/>
              <w:right w:w="100" w:type="dxa"/>
            </w:tcMar>
          </w:tcPr>
          <w:p>
            <w:r>
              <w:rPr>
                <w:b/>
                <w:color w:val="2B6CB0"/>
                <w:sz w:val="17"/>
              </w:rPr>
              <w:t>85% (Conseil)</w:t>
            </w:r>
          </w:p>
        </w:tc>
      </w:tr>
      <w:tr>
        <w:tc>
          <w:tcPr>
            <w:tcW w:type="dxa" w:w="1440"/>
            <w:shd w:fill="FFFFFF"/>
            <w:tcMar>
              <w:top w:w="80" w:type="dxa"/>
              <w:bottom w:w="80" w:type="dxa"/>
              <w:left w:w="100" w:type="dxa"/>
              <w:right w:w="100" w:type="dxa"/>
            </w:tcMar>
          </w:tcPr>
          <w:p>
            <w:r>
              <w:rPr>
                <w:b/>
                <w:color w:val="1A365D"/>
                <w:sz w:val="17"/>
              </w:rPr>
              <w:t>M1402</w:t>
            </w:r>
          </w:p>
        </w:tc>
        <w:tc>
          <w:tcPr>
            <w:tcW w:type="dxa" w:w="2592"/>
            <w:shd w:fill="FFFFFF"/>
            <w:tcMar>
              <w:top w:w="80" w:type="dxa"/>
              <w:bottom w:w="80" w:type="dxa"/>
              <w:left w:w="100" w:type="dxa"/>
              <w:right w:w="100" w:type="dxa"/>
            </w:tcMar>
          </w:tcPr>
          <w:p>
            <w:r>
              <w:rPr>
                <w:sz w:val="17"/>
              </w:rPr>
              <w:t>Consultant SIRH &amp; Audit Paie</w:t>
            </w:r>
          </w:p>
        </w:tc>
        <w:tc>
          <w:tcPr>
            <w:tcW w:type="dxa" w:w="2592"/>
            <w:shd w:fill="FFFFFF"/>
            <w:tcMar>
              <w:top w:w="80" w:type="dxa"/>
              <w:bottom w:w="80" w:type="dxa"/>
              <w:left w:w="100" w:type="dxa"/>
              <w:right w:w="100" w:type="dxa"/>
            </w:tcMar>
          </w:tcPr>
          <w:p>
            <w:r>
              <w:rPr>
                <w:sz w:val="17"/>
              </w:rPr>
              <w:t>Audit de conformité, déploiement Silae, paramétrage</w:t>
            </w:r>
          </w:p>
        </w:tc>
        <w:tc>
          <w:tcPr>
            <w:tcW w:type="dxa" w:w="2160"/>
            <w:shd w:fill="FFFFFF"/>
            <w:tcMar>
              <w:top w:w="80" w:type="dxa"/>
              <w:bottom w:w="80" w:type="dxa"/>
              <w:left w:w="100" w:type="dxa"/>
              <w:right w:w="100" w:type="dxa"/>
            </w:tcMar>
          </w:tcPr>
          <w:p>
            <w:r>
              <w:rPr>
                <w:sz w:val="17"/>
              </w:rPr>
              <w:t>Paramétrage Silae, DSN</w:t>
            </w:r>
          </w:p>
        </w:tc>
        <w:tc>
          <w:tcPr>
            <w:tcW w:type="dxa" w:w="1296"/>
            <w:shd w:fill="FFFFFF"/>
            <w:tcMar>
              <w:top w:w="80" w:type="dxa"/>
              <w:bottom w:w="80" w:type="dxa"/>
              <w:left w:w="100" w:type="dxa"/>
              <w:right w:w="100" w:type="dxa"/>
            </w:tcMar>
          </w:tcPr>
          <w:p>
            <w:r>
              <w:rPr>
                <w:b/>
                <w:color w:val="2B6CB0"/>
                <w:sz w:val="17"/>
              </w:rPr>
              <w:t>90% (Système)</w:t>
            </w:r>
          </w:p>
        </w:tc>
      </w:tr>
      <w:tr>
        <w:tc>
          <w:tcPr>
            <w:tcW w:type="dxa" w:w="1440"/>
            <w:shd w:fill="F7FAFC"/>
            <w:tcMar>
              <w:top w:w="80" w:type="dxa"/>
              <w:bottom w:w="80" w:type="dxa"/>
              <w:left w:w="100" w:type="dxa"/>
              <w:right w:w="100" w:type="dxa"/>
            </w:tcMar>
          </w:tcPr>
          <w:p>
            <w:r>
              <w:rPr>
                <w:b/>
                <w:color w:val="1A365D"/>
                <w:sz w:val="17"/>
              </w:rPr>
              <w:t>M1502</w:t>
            </w:r>
          </w:p>
        </w:tc>
        <w:tc>
          <w:tcPr>
            <w:tcW w:type="dxa" w:w="2592"/>
            <w:shd w:fill="F7FAFC"/>
            <w:tcMar>
              <w:top w:w="80" w:type="dxa"/>
              <w:bottom w:w="80" w:type="dxa"/>
              <w:left w:w="100" w:type="dxa"/>
              <w:right w:w="100" w:type="dxa"/>
            </w:tcMar>
          </w:tcPr>
          <w:p>
            <w:r>
              <w:rPr>
                <w:sz w:val="17"/>
              </w:rPr>
              <w:t>Développement des RH</w:t>
            </w:r>
          </w:p>
        </w:tc>
        <w:tc>
          <w:tcPr>
            <w:tcW w:type="dxa" w:w="2592"/>
            <w:shd w:fill="F7FAFC"/>
            <w:tcMar>
              <w:top w:w="80" w:type="dxa"/>
              <w:bottom w:w="80" w:type="dxa"/>
              <w:left w:w="100" w:type="dxa"/>
              <w:right w:w="100" w:type="dxa"/>
            </w:tcMar>
          </w:tcPr>
          <w:p>
            <w:r>
              <w:rPr>
                <w:sz w:val="17"/>
              </w:rPr>
              <w:t>Recrutement, GPEC, compétences et plans de formation</w:t>
            </w:r>
          </w:p>
        </w:tc>
        <w:tc>
          <w:tcPr>
            <w:tcW w:type="dxa" w:w="2160"/>
            <w:shd w:fill="F7FAFC"/>
            <w:tcMar>
              <w:top w:w="80" w:type="dxa"/>
              <w:bottom w:w="80" w:type="dxa"/>
              <w:left w:w="100" w:type="dxa"/>
              <w:right w:w="100" w:type="dxa"/>
            </w:tcMar>
          </w:tcPr>
          <w:p>
            <w:r>
              <w:rPr>
                <w:sz w:val="17"/>
              </w:rPr>
              <w:t>ATS, Entretiens</w:t>
            </w:r>
          </w:p>
        </w:tc>
        <w:tc>
          <w:tcPr>
            <w:tcW w:type="dxa" w:w="1296"/>
            <w:shd w:fill="F7FAFC"/>
            <w:tcMar>
              <w:top w:w="80" w:type="dxa"/>
              <w:bottom w:w="80" w:type="dxa"/>
              <w:left w:w="100" w:type="dxa"/>
              <w:right w:w="100" w:type="dxa"/>
            </w:tcMar>
          </w:tcPr>
          <w:p>
            <w:r>
              <w:rPr>
                <w:b/>
                <w:color w:val="2B6CB0"/>
                <w:sz w:val="17"/>
              </w:rPr>
              <w:t>75% (Talents)</w:t>
            </w:r>
          </w:p>
        </w:tc>
      </w:tr>
    </w:tbl>
    <w:p>
      <w:pPr>
        <w:spacing w:after="160"/>
      </w:pPr>
    </w:p>
    <w:p>
      <w:pPr>
        <w:spacing w:before="320" w:after="120"/>
      </w:pPr>
      <w:r>
        <w:rPr>
          <w:b/>
          <w:color w:val="1A365D"/>
          <w:sz w:val="30"/>
        </w:rPr>
        <w:t>3. Boîte à Outils : Les 3 Prompts Experts Prêts à l'Emploi</w:t>
      </w:r>
    </w:p>
    <w:p>
      <w:r>
        <w:rPr>
          <w:b/>
          <w:color w:val="2B6CB0"/>
          <w:sz w:val="24"/>
        </w:rPr>
        <w:t>3.1 Le « Méga-Prompt IA » : Chasseur &amp; Filtre d'Adéquation d'Offres</w:t>
      </w:r>
    </w:p>
    <w:tbl>
      <w:tblPr>
        <w:tblW w:type="auto" w:w="0"/>
        <w:jc w:val="center"/>
        <w:tblLook w:firstColumn="1" w:firstRow="1" w:lastColumn="0" w:lastRow="0" w:noHBand="0" w:noVBand="1" w:val="04A0"/>
      </w:tblPr>
      <w:tblGrid>
        <w:gridCol w:w="9936"/>
      </w:tblGrid>
      <w:tr>
        <w:tc>
          <w:tcPr>
            <w:tcW w:type="dxa" w:w="9792"/>
            <w:shd w:fill="EDF2F7"/>
            <w:tcMar>
              <w:top w:w="140" w:type="dxa"/>
              <w:bottom w:w="140" w:type="dxa"/>
              <w:left w:w="160" w:type="dxa"/>
              <w:right w:w="160" w:type="dxa"/>
            </w:tcMar>
          </w:tcPr>
          <w:p>
            <w:pPr>
              <w:spacing w:line="276" w:lineRule="auto"/>
            </w:pPr>
            <w:r>
              <w:rPr>
                <w:rFonts w:ascii="Consolas" w:hAnsi="Consolas"/>
                <w:color w:val="2D3748"/>
                <w:sz w:val="17"/>
              </w:rPr>
              <w:t>Tu agis en tant qu'Expert Chasseur de Têtes et Auditeur en Recrutement, spécialisé dans les métiers de la Paie, du Droit Social et du Management des Ressources Humaines.</w:t>
              <w:br/>
              <w:br/>
              <w:t>🎯 OBJECTIF :</w:t>
              <w:br/>
              <w:t>Analyser l'offre d'emploi ci-dessous, vérifier son adéquation avec un profil senior/expert (+15 ans d'expérience) et délivrer un diagnostic de faisabilité chiffré avant toute candidature.</w:t>
              <w:br/>
              <w:br/>
              <w:t>📋 PÉRIMÈTRE DES POSTES VALIDES (Nomenclature ROME) :</w:t>
              <w:br/>
              <w:t>1. ROME M1503 : Responsable RH et Paie, RRH opérationnel, Responsable Paie &amp; ADP, DRH Adjoint.</w:t>
              <w:br/>
              <w:t>2. ROME K2111 / K2102 : Formateur Paie &amp; Droit Social, Formateur Titre Pro Gestionnaire de Paie (TP-01254), Coordinateur Pédagogique filière RH.</w:t>
              <w:br/>
              <w:t>3. ROME M1203 : Gestionnaire de Paie &amp; Droit Social, Spécialiste DSN / Audit de Paie.</w:t>
              <w:br/>
              <w:t>4. ROME M1501 : Chargé / Responsable ADP et RH expérimenté.</w:t>
              <w:br/>
              <w:br/>
              <w:t>🛑 CRITÈRES DE FILTRAGE STRICTS (ÉLIMINATOIRES) :</w:t>
              <w:br/>
              <w:t>- ÉLIMINER si le poste mentionne "Débutant accepté", "Junior", "Alternant", "Stagiaire" ou exige &lt; 3 ans d'expérience.</w:t>
              <w:br/>
              <w:t>- ÉLIMINER si le salaire brut annuel est inférieur à 31 000 € (ou &lt; 2 583 € brut/mois).</w:t>
              <w:br/>
              <w:t>- ÉLIMINER si la composante Paie/Droit social/RH représente moins de 50 % du poste (exclure assistanat pur, comptabilité générale pure, secrétariat).</w:t>
              <w:br/>
              <w:br/>
              <w:t>📊 GRILLE D'ANALYSE À PRODUIRE :</w:t>
              <w:br/>
              <w:t>1. Code ROME identifié &amp; Typologie de poste.</w:t>
              <w:br/>
              <w:t>2. Statut Éligibilité : [VALIDÉ] ou [REJETÉ] avec justification directe (rémunération, niveau d'exigence, périmètre).</w:t>
              <w:br/>
              <w:t>3. Score d'Adéquation Métier (sur 100 points) selon 4 piliers :</w:t>
              <w:br/>
              <w:t xml:space="preserve">   - Cœur Paie &amp; Déclaratif (Silae, DSN, charges, régularisations) : /30</w:t>
              <w:br/>
              <w:t xml:space="preserve">   - Droit Social &amp; Sécurisation (relations CSE, contrats, accords) : /25</w:t>
              <w:br/>
              <w:t xml:space="preserve">   - Envergure managériale ou ingénierie/transmission : /25</w:t>
              <w:br/>
              <w:t xml:space="preserve">   - Organisation &amp; Système (SIRH, rigueur, autonomie) : /20</w:t>
              <w:br/>
              <w:t>4. Mots-clés discriminants de l'annonce à reprendre obligatoirement dans la candidature.</w:t>
              <w:br/>
              <w:t>5. Pitch d'accroche sur-mesure (3 phrases percutantes démontrant une rentabilité et une autonomie immédiates).</w:t>
              <w:br/>
              <w:br/>
              <w:t>Voici l'offre à analyser :</w:t>
              <w:br/>
              <w:t>[COLLER LE TEXTE DE L'OFFRE ICI]</w:t>
            </w:r>
          </w:p>
        </w:tc>
      </w:tr>
    </w:tbl>
    <w:p>
      <w:pPr>
        <w:spacing w:after="160"/>
      </w:pPr>
    </w:p>
    <w:p>
      <w:r>
        <w:rPr>
          <w:b/>
          <w:color w:val="2B6CB0"/>
          <w:sz w:val="24"/>
        </w:rPr>
        <w:t>3.2 La Requête Booléenne d'Excellence pour Jobboards (LinkedIn, Apec, France Travail, Indeed)</w:t>
      </w:r>
    </w:p>
    <w:tbl>
      <w:tblPr>
        <w:tblW w:type="auto" w:w="0"/>
        <w:jc w:val="center"/>
        <w:tblLook w:firstColumn="1" w:firstRow="1" w:lastColumn="0" w:lastRow="0" w:noHBand="0" w:noVBand="1" w:val="04A0"/>
      </w:tblPr>
      <w:tblGrid>
        <w:gridCol w:w="9936"/>
      </w:tblGrid>
      <w:tr>
        <w:tc>
          <w:tcPr>
            <w:tcW w:type="dxa" w:w="9792"/>
            <w:shd w:fill="EBF8FF"/>
            <w:tcMar>
              <w:top w:w="120" w:type="dxa"/>
              <w:bottom w:w="120" w:type="dxa"/>
              <w:left w:w="140" w:type="dxa"/>
              <w:right w:w="140" w:type="dxa"/>
            </w:tcMar>
          </w:tcPr>
          <w:p>
            <w:r>
              <w:rPr>
                <w:rFonts w:ascii="Consolas" w:hAnsi="Consolas"/>
                <w:b/>
                <w:color w:val="2B6CB0"/>
                <w:sz w:val="19"/>
              </w:rPr>
              <w:t>("Responsable RH et Paie" OR "Responsable Paie et ADP" OR "Gestionnaire de Paie" OR "RRH" OR "Formateur Paie") AND ("Silae" OR "DSN" OR "Droit social" OR "CSE") NOT ("Junior" OR "Débutant" OR "Stage" OR "Alternance" OR "Apprentissage" OR "Assistant polyvalent")</w:t>
            </w:r>
          </w:p>
        </w:tc>
      </w:tr>
    </w:tbl>
    <w:p>
      <w:pPr>
        <w:spacing w:after="160"/>
      </w:pPr>
    </w:p>
    <w:p>
      <w:r>
        <w:rPr>
          <w:b/>
          <w:color w:val="2B6CB0"/>
          <w:sz w:val="24"/>
        </w:rPr>
        <w:t>3.3 Le Prompt de Rédaction : Lettre &amp; Argumentaire d'Impact (Vous / Moi / Nous)</w:t>
      </w:r>
    </w:p>
    <w:tbl>
      <w:tblPr>
        <w:tblW w:type="auto" w:w="0"/>
        <w:jc w:val="center"/>
        <w:tblLook w:firstColumn="1" w:firstRow="1" w:lastColumn="0" w:lastRow="0" w:noHBand="0" w:noVBand="1" w:val="04A0"/>
      </w:tblPr>
      <w:tblGrid>
        <w:gridCol w:w="9936"/>
      </w:tblGrid>
      <w:tr>
        <w:tc>
          <w:tcPr>
            <w:tcW w:type="dxa" w:w="9792"/>
            <w:shd w:fill="EDF2F7"/>
            <w:tcMar>
              <w:top w:w="140" w:type="dxa"/>
              <w:bottom w:w="140" w:type="dxa"/>
              <w:left w:w="160" w:type="dxa"/>
              <w:right w:w="160" w:type="dxa"/>
            </w:tcMar>
          </w:tcPr>
          <w:p>
            <w:pPr>
              <w:spacing w:line="276" w:lineRule="auto"/>
            </w:pPr>
            <w:r>
              <w:rPr>
                <w:rFonts w:ascii="Consolas" w:hAnsi="Consolas"/>
                <w:color w:val="2D3748"/>
                <w:sz w:val="17"/>
              </w:rPr>
              <w:t>Rédige une lettre de motivation et un pitch exécutif en réponse à l'offre ci-jointe pour le profil de Richard BUSSON (Senior Expert RH &amp; Paie, +15 ans d'expérience, maîtrise experte de Silae, DSN, droit social, ingénierie pédagogique Qualiopi et management social).</w:t>
              <w:br/>
              <w:br/>
              <w:t>RÈGLES DE FORME &amp; DE FOND IMPÉRATIVES :</w:t>
              <w:br/>
              <w:t>1. Aucun caractère gras dans le corps du texte.</w:t>
              <w:br/>
              <w:t>2. Ton sobre, direct, d'égal à égal avec la Direction ou le DRH (pas de flatteries ni de formules creuses).</w:t>
              <w:br/>
              <w:t>3. Structure en 3 temps :</w:t>
              <w:br/>
              <w:t xml:space="preserve">   - Vous : Les enjeux concrets et défis opérationnels soulevés par l'annonce.</w:t>
              <w:br/>
              <w:t xml:space="preserve">   - Moi : Preuves concrètes (volumes traités, autonomie sur Silae/DSN, gestion du CSE/accords, conformité légale sans faille).</w:t>
              <w:br/>
              <w:t xml:space="preserve">   - Nous : La sécurisation immédiate de votre paie et le développement de vos collaborateurs dès le 1er jour.</w:t>
              <w:br/>
              <w:t>4. Calibrage strict : 250 à 300 mots maximum (format 1 page A4 nette).</w:t>
              <w:br/>
              <w:br/>
              <w:t>Texte de l'annonce :</w:t>
              <w:br/>
              <w:t>[COLLER L'OFFRE]</w:t>
            </w:r>
          </w:p>
        </w:tc>
      </w:tr>
    </w:tbl>
    <w:p>
      <w:pPr>
        <w:spacing w:after="200"/>
      </w:pPr>
    </w:p>
    <w:p>
      <w:pPr>
        <w:spacing w:before="320" w:after="120"/>
      </w:pPr>
      <w:r>
        <w:rPr>
          <w:b/>
          <w:color w:val="1A365D"/>
          <w:sz w:val="30"/>
        </w:rPr>
        <w:t>4. L'Agent IA « France Travail Autopilot » &amp; Mode Opératoire</w:t>
      </w:r>
    </w:p>
    <w:p>
      <w:r>
        <w:t>Pour automatiser au maximum la recherche et la postulation sur France Travail selon les directives exactes de Richard BUSSON, un agent IA dédié a été programmé et déployé sur sa machine.</w:t>
      </w:r>
    </w:p>
    <w:p>
      <w:pPr>
        <w:pStyle w:val="ListBullet"/>
      </w:pPr>
      <w:r>
        <w:t>• Reprise en main dès la connexion (Mode Handover) : L'agent lance Chrome sur l'espace candidat France Travail. Dès que Richard s'identifie (ou si la session est déjà ouverte), l'agent détecte la connexion et prend les commandes de manière autonome.</w:t>
      </w:r>
    </w:p>
    <w:p>
      <w:pPr>
        <w:pStyle w:val="ListBullet"/>
      </w:pPr>
      <w:r>
        <w:t>• Filtrage strict France Travail (ZÉRO partenaire) : L'agent interroge le portail avec le paramètre officiel natureOffre=E1 et offresPartenaires=false. Aucune redirection externe (Indeed, Monster, HelloWork) n'est autorisée.</w:t>
      </w:r>
    </w:p>
    <w:p>
      <w:pPr>
        <w:pStyle w:val="ListBullet"/>
      </w:pPr>
      <w:r>
        <w:t>• Périmètre géographique &amp; Rémunération : Ciblage exclusif Hauts-de-France (60, 80, 02, 59, 62), Île-de-France (75 et couronnes), Sud-Ouest Côte Atlantique (Nouvelle-Aquitaine, 33, 17, 64, 40), Vendée (85) et télétravail. Salaire minimum vérifié : supérieur ou égal à 31 000 € brut par an (2 583 € / mois).</w:t>
      </w:r>
    </w:p>
    <w:p>
      <w:pPr>
        <w:pStyle w:val="ListBullet"/>
      </w:pPr>
      <w:r>
        <w:t>• Contrôle Anti-Doublon Absolu : Lecture préalable de tracker.json et dashboard.md. Zéro doublon d'ID, d'URL ou de couple Entreprise/Poste.</w:t>
      </w:r>
    </w:p>
    <w:p>
      <w:pPr>
        <w:pStyle w:val="ListBullet"/>
      </w:pPr>
      <w:r>
        <w:t>• Rédaction &amp; Génération du CV certifié : Pour chaque offre retenue (score &gt;= 75%), création automatique d'un dossier avec compilation d'un CV sur-mesure (1 page A4 certifiée sans débordement) et de la lettre.</w:t>
      </w:r>
    </w:p>
    <w:p>
      <w:pPr>
        <w:pStyle w:val="ListBullet"/>
      </w:pPr>
      <w:r>
        <w:t>• Postulation automatisée : Clic sur « Postuler », téléversement du CV certifié dans la bibliothèque de CV France Travail, saisie du texte de motivation personnalisé (sans aucun caractère gras) et clic sur « Confirmer et envoyer ».</w:t>
      </w:r>
    </w:p>
    <w:p>
      <w:pPr>
        <w:pStyle w:val="ListBullet"/>
      </w:pPr>
      <w:r>
        <w:t>• Traçabilité &amp; Preuve : Capture d'écran horodatée de l'envoi, mise à jour instantanée du tracker.json et régénération automatique du dashboard HTML interactif.</w:t>
      </w:r>
    </w:p>
    <w:p>
      <w:pPr>
        <w:spacing w:before="280" w:after="80"/>
      </w:pPr>
      <w:r>
        <w:rPr>
          <w:b/>
          <w:color w:val="2B6CB0"/>
          <w:sz w:val="26"/>
        </w:rPr>
        <w:t>5. Accès aux Scripts &amp; Raccourcis sur la Machine</w:t>
      </w:r>
    </w:p>
    <w:p>
      <w:pPr>
        <w:pStyle w:val="ListBullet"/>
      </w:pPr>
      <w:r>
        <w:t>• Script de l'Agent IA : C:\Users\richa\JobHunter\france_travail_autopilot_agent.py</w:t>
      </w:r>
    </w:p>
    <w:p>
      <w:pPr>
        <w:pStyle w:val="ListBullet"/>
      </w:pPr>
      <w:r>
        <w:t>• Lanceur rapide 1-clic : C:\Users\richa\JobHunter\lancer_agent_france_travail.bat</w:t>
      </w:r>
    </w:p>
    <w:p>
      <w:pPr>
        <w:pStyle w:val="ListBullet"/>
      </w:pPr>
      <w:r>
        <w:t>• Tableau de Bord Interactif : C:\Users\richa\JobHunter\dashboard.html</w:t>
      </w:r>
    </w:p>
    <w:p>
      <w:pPr>
        <w:pStyle w:val="ListBullet"/>
      </w:pPr>
      <w:r>
        <w:t>• Raccourci Bureau : C:\Users\richa\OneDrive\Archives\Bureau 2021\Tableau de Bord - Candidatures.lnk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