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Calibri" w:cs="Calibri" w:eastAsia="Calibri" w:hAnsi="Calibri"/>
          <w:b/>
          <w:bCs/>
          <w:color w:val="1a2e4a"/>
          <w:sz w:val="36"/>
          <w:szCs w:val="36"/>
        </w:rPr>
        <w:t xml:space="preserve">House Price Prediction with Linear Models</w:t>
      </w:r>
    </w:p>
    <w:p>
      <w:pPr>
        <w:spacing w:before="0" w:after="60"/>
        <w:jc w:val="center"/>
      </w:pPr>
      <w:r>
        <w:rPr>
          <w:rFonts w:ascii="Calibri" w:cs="Calibri" w:eastAsia="Calibri" w:hAnsi="Calibri"/>
          <w:color w:val="2c5f8a"/>
          <w:sz w:val="21"/>
          <w:szCs w:val="21"/>
        </w:rPr>
        <w:t xml:space="preserve">DSS5104 — Applied Linear Regression · Continuous Assessment 1</w:t>
      </w:r>
    </w:p>
    <w:p>
      <w:pPr>
        <w:spacing w:before="0" w:after="160"/>
        <w:jc w:val="center"/>
      </w:pPr>
      <w:r>
        <w:rPr>
          <w:rFonts w:ascii="Calibri" w:cs="Calibri" w:eastAsia="Calibri" w:hAnsi="Calibri"/>
          <w:color w:val="777777"/>
          <w:sz w:val="19"/>
          <w:szCs w:val="19"/>
        </w:rPr>
        <w:t xml:space="preserve">March 2026</w:t>
      </w:r>
    </w:p>
    <w:p>
      <w:pPr>
        <w:pBdr>
          <w:bottom w:val="single" w:color="1a2e4a" w:sz="6" w:space="1"/>
        </w:pBdr>
        <w:spacing w:before="0" w:after="120"/>
      </w:pPr>
    </w:p>
    <w:p>
      <w:pPr>
        <w:spacing w:before="0" w:after="60"/>
        <w:jc w:val="center"/>
      </w:pPr>
      <w:r>
        <w:rPr>
          <w:rFonts w:ascii="Calibri" w:cs="Calibri" w:eastAsia="Calibri" w:hAnsi="Calibri"/>
          <w:b/>
          <w:bCs/>
          <w:color w:val="1a2e4a"/>
          <w:sz w:val="19"/>
          <w:szCs w:val="19"/>
        </w:rPr>
        <w:t xml:space="preserve">Abstract</w:t>
      </w:r>
    </w:p>
    <w:p>
      <w:pPr>
        <w:spacing w:before="0" w:after="120"/>
        <w:ind w:left="720" w:right="720"/>
        <w:jc w:val="both"/>
      </w:pPr>
      <w:r>
        <w:rPr>
          <w:rFonts w:ascii="Calibri" w:cs="Calibri" w:eastAsia="Calibri" w:hAnsi="Calibri"/>
          <w:sz w:val="19"/>
          <w:szCs w:val="19"/>
        </w:rPr>
        <w:t xml:space="preserve">This paper investigates how far linear regression models can be pushed on a residential house price prediction task through systematic feature engineering, regularisation, and ensemble methods, while maintaining interpretability. Applied to a deduplicated dataset of 4,553 property transactions in King County, Washington, we construct a 12-feature Ridge model — combining KNN comparable-sales summaries, street direction encodings, and demand proxies — achieving a test-set MAPE of 15.98%. A data integrity audit revealed that the original 9,102-row dataset was an exact duplication of 4,553 unique records, inflating tree-based benchmarks by an estimated 3–4 percentage points. On the clean data, our Lean Ridge model trails a properly regularised XGBoost benchmark by 0.7 percentage points, while offering full coefficient-level interpretability. Lasso path analysis identifies a statistical elbow at 12 features; beyond it, every marginal gain falls below one cross-validation standard error.</w:t>
      </w:r>
    </w:p>
    <w:p>
      <w:pPr>
        <w:pBdr>
          <w:bottom w:val="single" w:color="dde3ea" w:sz="6" w:space="1"/>
        </w:pBdr>
        <w:spacing w:before="0" w:after="160"/>
      </w:pPr>
    </w:p>
    <w:p>
      <w:pPr>
        <w:pBdr>
          <w:bottom w:val="single" w:color="dde3ea" w:sz="4" w:space="4"/>
        </w:pBdr>
        <w:spacing w:before="260" w:after="100"/>
      </w:pPr>
      <w:r>
        <w:rPr>
          <w:rFonts w:ascii="Calibri" w:cs="Calibri" w:eastAsia="Calibri" w:hAnsi="Calibri"/>
          <w:b/>
          <w:bCs/>
          <w:color w:val="1a2e4a"/>
          <w:sz w:val="24"/>
          <w:szCs w:val="24"/>
        </w:rPr>
        <w:t xml:space="preserve">1. Introduction</w:t>
      </w:r>
    </w:p>
    <w:p>
      <w:pPr>
        <w:spacing w:before="0" w:after="100" w:line="276"/>
        <w:jc w:val="both"/>
      </w:pPr>
      <w:r>
        <w:rPr>
          <w:rFonts w:ascii="Calibri" w:cs="Calibri" w:eastAsia="Calibri" w:hAnsi="Calibri"/>
          <w:sz w:val="19"/>
          <w:szCs w:val="19"/>
        </w:rPr>
        <w:t xml:space="preserve">Modern machine learning applications in real estate overwhelmingly favour gradient boosting and neural network approaches for their predictive power. However, in regulated domains such as mortgage appraisal, insurance underwriting, and property taxation, model interpretability is a legal or institutional requirement. Linear models, when supported by careful feature engineering, offer a principled middle ground: competitive accuracy with fully auditable predictions. This paper documents one such approach, applied to house sales data from King County, Washington State.</w:t>
      </w:r>
    </w:p>
    <w:p>
      <w:pPr>
        <w:spacing w:before="0" w:after="100" w:line="276"/>
        <w:jc w:val="both"/>
      </w:pPr>
      <w:r>
        <w:rPr>
          <w:rFonts w:ascii="Calibri" w:cs="Calibri" w:eastAsia="Calibri" w:hAnsi="Calibri"/>
          <w:sz w:val="19"/>
          <w:szCs w:val="19"/>
        </w:rPr>
        <w:t xml:space="preserve">The central methodological contribution is not any single model, but a </w:t>
      </w:r>
      <w:r>
        <w:rPr>
          <w:rFonts w:ascii="Calibri" w:cs="Calibri" w:eastAsia="Calibri" w:hAnsi="Calibri"/>
          <w:i/>
          <w:iCs/>
          <w:sz w:val="19"/>
          <w:szCs w:val="19"/>
        </w:rPr>
        <w:t xml:space="preserve">feature engineering discipline</w:t>
      </w:r>
      <w:r>
        <w:rPr>
          <w:rFonts w:ascii="Calibri" w:cs="Calibri" w:eastAsia="Calibri" w:hAnsi="Calibri"/>
          <w:sz w:val="19"/>
          <w:szCs w:val="19"/>
        </w:rPr>
        <w:t xml:space="preserve">: we show through Lasso regularisation path analysis that predictive performance saturates at a geometric elbow, and that additional features beyond this threshold provide negligible marginal gain. Crucially, the dominant signal — neighbourhood comparable prices and street orientation — is captured via KNN comparable-sales features and ZIP × direction encodings without a single tree-based model.</w:t>
      </w:r>
    </w:p>
    <w:p>
      <w:pPr>
        <w:spacing w:before="0" w:after="100" w:line="276"/>
        <w:jc w:val="both"/>
      </w:pPr>
      <w:r>
        <w:rPr>
          <w:rFonts w:ascii="Calibri" w:cs="Calibri" w:eastAsia="Calibri" w:hAnsi="Calibri"/>
          <w:sz w:val="19"/>
          <w:szCs w:val="19"/>
        </w:rPr>
        <w:t xml:space="preserve">The remainder of this paper is structured as follows. Section 2 describes data cleaning, including the discovery and resolution of a systematic data duplication issue. Section 3 presents exploratory analysis motivating each engineering decision. Section 4 details the three-round feature engineering process. Section 5 describes the modelling strategy. Section 6 reports results. Section 7 interprets the primary model. Section 8 contextualises performance against XGBoost benchmarks. Section 9 concludes.</w:t>
      </w:r>
    </w:p>
    <w:p>
      <w:pPr>
        <w:pBdr>
          <w:bottom w:val="single" w:color="dde3ea" w:sz="4" w:space="4"/>
        </w:pBdr>
        <w:spacing w:before="260" w:after="100"/>
      </w:pPr>
      <w:r>
        <w:rPr>
          <w:rFonts w:ascii="Calibri" w:cs="Calibri" w:eastAsia="Calibri" w:hAnsi="Calibri"/>
          <w:b/>
          <w:bCs/>
          <w:color w:val="1a2e4a"/>
          <w:sz w:val="24"/>
          <w:szCs w:val="24"/>
        </w:rPr>
        <w:t xml:space="preserve">2. Data</w:t>
      </w:r>
    </w:p>
    <w:p>
      <w:pPr>
        <w:spacing w:before="180" w:after="60"/>
      </w:pPr>
      <w:r>
        <w:rPr>
          <w:rFonts w:ascii="Calibri" w:cs="Calibri" w:eastAsia="Calibri" w:hAnsi="Calibri"/>
          <w:b/>
          <w:bCs/>
          <w:color w:val="2c5f8a"/>
          <w:sz w:val="21"/>
          <w:szCs w:val="21"/>
        </w:rPr>
        <w:t xml:space="preserve">2.1 Dataset Description</w:t>
      </w:r>
    </w:p>
    <w:p>
      <w:pPr>
        <w:spacing w:before="0" w:after="100" w:line="276"/>
        <w:jc w:val="both"/>
      </w:pPr>
      <w:r>
        <w:rPr>
          <w:rFonts w:ascii="Calibri" w:cs="Calibri" w:eastAsia="Calibri" w:hAnsi="Calibri"/>
          <w:sz w:val="19"/>
          <w:szCs w:val="19"/>
        </w:rPr>
        <w:t xml:space="preserve">The dataset comprises residential property transactions in King County, Washington, recorded between May and July 2014. Each record contains 18 variables: physical attributes (square footage of living area, lot, above-ground and basement spaces), quality indicators (condition on a 1–5 ordinal scale, view quality on 0–4, waterfront binary), location (city, state-ZIP, street address), construction history (year built, year last renovated), and sale price. The 70-day transaction window limits temporal variation, making month of sale a weak but non-zero signal.</w:t>
      </w:r>
    </w:p>
    <w:p>
      <w:pPr>
        <w:spacing w:before="180" w:after="60"/>
      </w:pPr>
      <w:r>
        <w:rPr>
          <w:rFonts w:ascii="Calibri" w:cs="Calibri" w:eastAsia="Calibri" w:hAnsi="Calibri"/>
          <w:b/>
          <w:bCs/>
          <w:color w:val="2c5f8a"/>
          <w:sz w:val="21"/>
          <w:szCs w:val="21"/>
        </w:rPr>
        <w:t xml:space="preserve">2.2 Data Cleaning and Integrity Audit</w:t>
      </w:r>
    </w:p>
    <w:p>
      <w:pPr>
        <w:spacing w:before="0" w:after="100" w:line="276"/>
        <w:jc w:val="both"/>
      </w:pPr>
      <w:r>
        <w:rPr>
          <w:rFonts w:ascii="Calibri" w:cs="Calibri" w:eastAsia="Calibri" w:hAnsi="Calibri"/>
          <w:sz w:val="19"/>
          <w:szCs w:val="19"/>
        </w:rPr>
        <w:t xml:space="preserve">Raw data contained 9,200 rows. Ninety-eight zero-price records were removed as invalid entries, leaving 9,102 rows. A systematic audit then identified a critical data quality issue: </w:t>
      </w:r>
      <w:r>
        <w:rPr>
          <w:rFonts w:ascii="Calibri" w:cs="Calibri" w:eastAsia="Calibri" w:hAnsi="Calibri"/>
          <w:b/>
          <w:bCs/>
          <w:sz w:val="19"/>
          <w:szCs w:val="19"/>
        </w:rPr>
        <w:t xml:space="preserve">4,549 of the 4,553 unique property records appeared exactly twice</w:t>
      </w:r>
      <w:r>
        <w:rPr>
          <w:rFonts w:ascii="Calibri" w:cs="Calibri" w:eastAsia="Calibri" w:hAnsi="Calibri"/>
          <w:sz w:val="19"/>
          <w:szCs w:val="19"/>
        </w:rPr>
        <w:t xml:space="preserve">, making approximately 50% of the dataset an artificial copy. Five independent checks confirmed this was not legitimate resale activity (Table 1).</w:t>
      </w:r>
    </w:p>
    <w:p>
      <w:pPr>
        <w:spacing w:before="0" w:after="100" w:line="276"/>
        <w:jc w:val="both"/>
      </w:pPr>
      <w:r>
        <w:rPr>
          <w:rFonts w:ascii="Calibri" w:cs="Calibri" w:eastAsia="Calibri" w:hAnsi="Calibri"/>
          <w:sz w:val="19"/>
          <w:szCs w:val="19"/>
        </w:rPr>
        <w:t xml:space="preserve">After deduplication, 4,553 unique sales remain. Linear models were minimally affected (less than 0.8 pp); gradient boosting showed 3–4 pp inflation from memorisation.</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726"/>
        <w:gridCol w:w="2300"/>
      </w:tblGrid>
      <w:tr>
        <w:trPr>
          <w:tblHeader/>
        </w:trPr>
        <w:tc>
          <w:tcPr>
            <w:tcW w:type="dxa" w:w="30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Check</w:t>
            </w:r>
          </w:p>
        </w:tc>
        <w:tc>
          <w:tcPr>
            <w:tcW w:type="dxa" w:w="3726"/>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Finding</w:t>
            </w:r>
          </w:p>
        </w:tc>
        <w:tc>
          <w:tcPr>
            <w:tcW w:type="dxa" w:w="23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Conclusion</w:t>
            </w:r>
          </w:p>
        </w:tc>
      </w:tr>
      <w:tr>
        <w:tc>
          <w:tcPr>
            <w:tcW w:type="dxa" w:w="3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Duplicate sale dates</w:t>
            </w:r>
          </w:p>
        </w:tc>
        <w:tc>
          <w:tcPr>
            <w:tcW w:type="dxa" w:w="37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All 4,549 pairs share identical sale date</w:t>
            </w:r>
          </w:p>
        </w:tc>
        <w:tc>
          <w:tcPr>
            <w:tcW w:type="dxa" w:w="2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Not legitimate resales</w:t>
            </w:r>
          </w:p>
        </w:tc>
      </w:tr>
      <w:tr>
        <w:tc>
          <w:tcPr>
            <w:tcW w:type="dxa" w:w="3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Price variation</w:t>
            </w:r>
          </w:p>
        </w:tc>
        <w:tc>
          <w:tcPr>
            <w:tcW w:type="dxa" w:w="37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Zero pairs with differing price</w:t>
            </w:r>
          </w:p>
        </w:tc>
        <w:tc>
          <w:tcPr>
            <w:tcW w:type="dxa" w:w="23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Not renegotiations</w:t>
            </w:r>
          </w:p>
        </w:tc>
      </w:tr>
      <w:tr>
        <w:tc>
          <w:tcPr>
            <w:tcW w:type="dxa" w:w="3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Row offset pattern</w:t>
            </w:r>
          </w:p>
        </w:tc>
        <w:tc>
          <w:tcPr>
            <w:tcW w:type="dxa" w:w="37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Consistent offset of 4,551 = half dataset</w:t>
            </w:r>
          </w:p>
        </w:tc>
        <w:tc>
          <w:tcPr>
            <w:tcW w:type="dxa" w:w="2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Programmatic copy</w:t>
            </w:r>
          </w:p>
        </w:tc>
      </w:tr>
      <w:tr>
        <w:tc>
          <w:tcPr>
            <w:tcW w:type="dxa" w:w="3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Full-row identity</w:t>
            </w:r>
          </w:p>
        </w:tc>
        <w:tc>
          <w:tcPr>
            <w:tcW w:type="dxa" w:w="37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9,098 rows byte-for-byte identical</w:t>
            </w:r>
          </w:p>
        </w:tc>
        <w:tc>
          <w:tcPr>
            <w:tcW w:type="dxa" w:w="23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Artificial duplication</w:t>
            </w:r>
          </w:p>
        </w:tc>
      </w:tr>
      <w:tr>
        <w:tc>
          <w:tcPr>
            <w:tcW w:type="dxa" w:w="3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Half-vs-half comparison</w:t>
            </w:r>
          </w:p>
        </w:tc>
        <w:tc>
          <w:tcPr>
            <w:tcW w:type="dxa" w:w="37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Only 2 rows differ (sqft_living typo)</w:t>
            </w:r>
          </w:p>
        </w:tc>
        <w:tc>
          <w:tcPr>
            <w:tcW w:type="dxa" w:w="2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Confirmed artificial</w:t>
            </w:r>
          </w:p>
        </w:tc>
      </w:tr>
    </w:tbl>
    <w:p>
      <w:pPr>
        <w:spacing w:before="40" w:after="120"/>
        <w:jc w:val="center"/>
      </w:pPr>
      <w:r>
        <w:rPr>
          <w:rFonts w:ascii="Calibri" w:cs="Calibri" w:eastAsia="Calibri" w:hAnsi="Calibri"/>
          <w:i/>
          <w:iCs/>
          <w:color w:val="555555"/>
          <w:sz w:val="17"/>
          <w:szCs w:val="17"/>
        </w:rPr>
        <w:t xml:space="preserve">Table 1. Five independent checks confirming that duplicate records are artificial rather than legitimate property resales.</w:t>
      </w:r>
    </w:p>
    <w:p>
      <w:pPr>
        <w:spacing w:before="180" w:after="60"/>
      </w:pPr>
      <w:r>
        <w:rPr>
          <w:rFonts w:ascii="Calibri" w:cs="Calibri" w:eastAsia="Calibri" w:hAnsi="Calibri"/>
          <w:b/>
          <w:bCs/>
          <w:color w:val="2c5f8a"/>
          <w:sz w:val="21"/>
          <w:szCs w:val="21"/>
        </w:rPr>
        <w:t xml:space="preserve">2.3 Renovation Date Integrity</w:t>
      </w:r>
    </w:p>
    <w:p>
      <w:pPr>
        <w:spacing w:before="0" w:after="100" w:line="276"/>
        <w:jc w:val="both"/>
      </w:pPr>
      <w:r>
        <w:rPr>
          <w:rFonts w:ascii="Calibri" w:cs="Calibri" w:eastAsia="Calibri" w:hAnsi="Calibri"/>
          <w:sz w:val="19"/>
          <w:szCs w:val="19"/>
        </w:rPr>
        <w:t xml:space="preserve">A further data quality issue was identified in the </w:t>
      </w:r>
      <w:r>
        <w:rPr>
          <w:rFonts w:ascii="Calibri" w:cs="Calibri" w:eastAsia="Calibri" w:hAnsi="Calibri"/>
          <w:i/>
          <w:iCs/>
          <w:sz w:val="19"/>
          <w:szCs w:val="19"/>
        </w:rPr>
        <w:t xml:space="preserve">yr_renovated</w:t>
      </w:r>
      <w:r>
        <w:rPr>
          <w:rFonts w:ascii="Calibri" w:cs="Calibri" w:eastAsia="Calibri" w:hAnsi="Calibri"/>
          <w:sz w:val="19"/>
          <w:szCs w:val="19"/>
        </w:rPr>
        <w:t xml:space="preserve"> field. Of the 3,690 rows recording a renovation year, </w:t>
      </w:r>
      <w:r>
        <w:rPr>
          <w:rFonts w:ascii="Calibri" w:cs="Calibri" w:eastAsia="Calibri" w:hAnsi="Calibri"/>
          <w:b/>
          <w:bCs/>
          <w:sz w:val="19"/>
          <w:szCs w:val="19"/>
        </w:rPr>
        <w:t xml:space="preserve">386 have a renovation date earlier than the construction date</w:t>
      </w:r>
      <w:r>
        <w:rPr>
          <w:rFonts w:ascii="Calibri" w:cs="Calibri" w:eastAsia="Calibri" w:hAnsi="Calibri"/>
          <w:sz w:val="19"/>
          <w:szCs w:val="19"/>
        </w:rPr>
        <w:t xml:space="preserve"> — a logical impossibility. All 386 rows are treated as having no valid renovation: </w:t>
      </w:r>
      <w:r>
        <w:rPr>
          <w:rFonts w:ascii="Calibri" w:cs="Calibri" w:eastAsia="Calibri" w:hAnsi="Calibri"/>
          <w:i/>
          <w:iCs/>
          <w:sz w:val="19"/>
          <w:szCs w:val="19"/>
        </w:rPr>
        <w:t xml:space="preserve">effective_age</w:t>
      </w:r>
      <w:r>
        <w:rPr>
          <w:rFonts w:ascii="Calibri" w:cs="Calibri" w:eastAsia="Calibri" w:hAnsi="Calibri"/>
          <w:sz w:val="19"/>
          <w:szCs w:val="19"/>
        </w:rPr>
        <w:t xml:space="preserve"> falls back to </w:t>
      </w:r>
      <w:r>
        <w:rPr>
          <w:rFonts w:ascii="Calibri" w:cs="Calibri" w:eastAsia="Calibri" w:hAnsi="Calibri"/>
          <w:i/>
          <w:iCs/>
          <w:sz w:val="19"/>
          <w:szCs w:val="19"/>
        </w:rPr>
        <w:t xml:space="preserve">yr_built</w:t>
      </w:r>
      <w:r>
        <w:rPr>
          <w:rFonts w:ascii="Calibri" w:cs="Calibri" w:eastAsia="Calibri" w:hAnsi="Calibri"/>
          <w:sz w:val="19"/>
          <w:szCs w:val="19"/>
        </w:rPr>
        <w:t xml:space="preserve"> and </w:t>
      </w:r>
      <w:r>
        <w:rPr>
          <w:rFonts w:ascii="Calibri" w:cs="Calibri" w:eastAsia="Calibri" w:hAnsi="Calibri"/>
          <w:i/>
          <w:iCs/>
          <w:sz w:val="19"/>
          <w:szCs w:val="19"/>
        </w:rPr>
        <w:t xml:space="preserve">recent_reno</w:t>
      </w:r>
      <w:r>
        <w:rPr>
          <w:rFonts w:ascii="Calibri" w:cs="Calibri" w:eastAsia="Calibri" w:hAnsi="Calibri"/>
          <w:sz w:val="19"/>
          <w:szCs w:val="19"/>
        </w:rPr>
        <w:t xml:space="preserve"> is set to zero.</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1800"/>
        <w:gridCol w:w="900"/>
        <w:gridCol w:w="1826"/>
      </w:tblGrid>
      <w:tr>
        <w:trPr>
          <w:tblHeader/>
        </w:trPr>
        <w:tc>
          <w:tcPr>
            <w:tcW w:type="dxa" w:w="24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Pattern</w:t>
            </w:r>
          </w:p>
        </w:tc>
        <w:tc>
          <w:tcPr>
            <w:tcW w:type="dxa" w:w="9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Count</w:t>
            </w:r>
          </w:p>
        </w:tc>
        <w:tc>
          <w:tcPr>
            <w:tcW w:type="dxa" w:w="12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yr_built</w:t>
            </w:r>
          </w:p>
        </w:tc>
        <w:tc>
          <w:tcPr>
            <w:tcW w:type="dxa" w:w="18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yr_renovated</w:t>
            </w:r>
          </w:p>
        </w:tc>
        <w:tc>
          <w:tcPr>
            <w:tcW w:type="dxa" w:w="9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Gap</w:t>
            </w:r>
          </w:p>
        </w:tc>
        <w:tc>
          <w:tcPr>
            <w:tcW w:type="dxa" w:w="1826"/>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Treatment</w:t>
            </w:r>
          </w:p>
        </w:tc>
      </w:tr>
      <w:tr>
        <w:tc>
          <w:tcPr>
            <w:tcW w:type="dxa" w:w="2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Pre-completion</w:t>
            </w:r>
          </w:p>
        </w:tc>
        <w:tc>
          <w:tcPr>
            <w:tcW w:type="dxa" w:w="9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184</w:t>
            </w:r>
          </w:p>
        </w:tc>
        <w:tc>
          <w:tcPr>
            <w:tcW w:type="dxa" w:w="12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2004</w:t>
            </w:r>
          </w:p>
        </w:tc>
        <w:tc>
          <w:tcPr>
            <w:tcW w:type="dxa" w:w="18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2003</w:t>
            </w:r>
          </w:p>
        </w:tc>
        <w:tc>
          <w:tcPr>
            <w:tcW w:type="dxa" w:w="9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 yr</w:t>
            </w:r>
          </w:p>
        </w:tc>
        <w:tc>
          <w:tcPr>
            <w:tcW w:type="dxa" w:w="18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Treated as no valid renovation</w:t>
            </w:r>
          </w:p>
        </w:tc>
      </w:tr>
      <w:tr>
        <w:tc>
          <w:tcPr>
            <w:tcW w:type="dxa" w:w="2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Century typo</w:t>
            </w:r>
          </w:p>
        </w:tc>
        <w:tc>
          <w:tcPr>
            <w:tcW w:type="dxa" w:w="9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66</w:t>
            </w:r>
          </w:p>
        </w:tc>
        <w:tc>
          <w:tcPr>
            <w:tcW w:type="dxa" w:w="12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2012</w:t>
            </w:r>
          </w:p>
        </w:tc>
        <w:tc>
          <w:tcPr>
            <w:tcW w:type="dxa" w:w="18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1912</w:t>
            </w:r>
          </w:p>
        </w:tc>
        <w:tc>
          <w:tcPr>
            <w:tcW w:type="dxa" w:w="9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100 yr</w:t>
            </w:r>
          </w:p>
        </w:tc>
        <w:tc>
          <w:tcPr>
            <w:tcW w:type="dxa" w:w="18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Confirmed entry error — excluded</w:t>
            </w:r>
          </w:p>
        </w:tc>
      </w:tr>
      <w:tr>
        <w:tc>
          <w:tcPr>
            <w:tcW w:type="dxa" w:w="2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Century typo</w:t>
            </w:r>
          </w:p>
        </w:tc>
        <w:tc>
          <w:tcPr>
            <w:tcW w:type="dxa" w:w="9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110</w:t>
            </w:r>
          </w:p>
        </w:tc>
        <w:tc>
          <w:tcPr>
            <w:tcW w:type="dxa" w:w="12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2013</w:t>
            </w:r>
          </w:p>
        </w:tc>
        <w:tc>
          <w:tcPr>
            <w:tcW w:type="dxa" w:w="18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1923</w:t>
            </w:r>
          </w:p>
        </w:tc>
        <w:tc>
          <w:tcPr>
            <w:tcW w:type="dxa" w:w="9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90 yr</w:t>
            </w:r>
          </w:p>
        </w:tc>
        <w:tc>
          <w:tcPr>
            <w:tcW w:type="dxa" w:w="18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Confirmed entry error — excluded</w:t>
            </w:r>
          </w:p>
        </w:tc>
      </w:tr>
      <w:tr>
        <w:tc>
          <w:tcPr>
            <w:tcW w:type="dxa" w:w="2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Prior structure</w:t>
            </w:r>
          </w:p>
        </w:tc>
        <w:tc>
          <w:tcPr>
            <w:tcW w:type="dxa" w:w="9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24</w:t>
            </w:r>
          </w:p>
        </w:tc>
        <w:tc>
          <w:tcPr>
            <w:tcW w:type="dxa" w:w="12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1966</w:t>
            </w:r>
          </w:p>
        </w:tc>
        <w:tc>
          <w:tcPr>
            <w:tcW w:type="dxa" w:w="18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1963</w:t>
            </w:r>
          </w:p>
        </w:tc>
        <w:tc>
          <w:tcPr>
            <w:tcW w:type="dxa" w:w="9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3 yr</w:t>
            </w:r>
          </w:p>
        </w:tc>
        <w:tc>
          <w:tcPr>
            <w:tcW w:type="dxa" w:w="18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Treated as no valid renovation</w:t>
            </w:r>
          </w:p>
        </w:tc>
      </w:tr>
    </w:tbl>
    <w:p>
      <w:pPr>
        <w:spacing w:before="40" w:after="120"/>
        <w:jc w:val="center"/>
      </w:pPr>
      <w:r>
        <w:rPr>
          <w:rFonts w:ascii="Calibri" w:cs="Calibri" w:eastAsia="Calibri" w:hAnsi="Calibri"/>
          <w:i/>
          <w:iCs/>
          <w:color w:val="555555"/>
          <w:sz w:val="17"/>
          <w:szCs w:val="17"/>
        </w:rPr>
        <w:t xml:space="preserve">Table 2. Renovation date anomalies. All 386 cases treated as missing renovation records.</w:t>
      </w:r>
    </w:p>
    <w:p>
      <w:pPr>
        <w:spacing w:before="180" w:after="60"/>
      </w:pPr>
      <w:r>
        <w:rPr>
          <w:rFonts w:ascii="Calibri" w:cs="Calibri" w:eastAsia="Calibri" w:hAnsi="Calibri"/>
          <w:b/>
          <w:bCs/>
          <w:color w:val="2c5f8a"/>
          <w:sz w:val="21"/>
          <w:szCs w:val="21"/>
        </w:rPr>
        <w:t xml:space="preserve">2.4 Train/Test Split</w:t>
      </w:r>
    </w:p>
    <w:p>
      <w:pPr>
        <w:spacing w:before="0" w:after="100" w:line="276"/>
        <w:jc w:val="both"/>
      </w:pPr>
      <w:r>
        <w:rPr>
          <w:rFonts w:ascii="Calibri" w:cs="Calibri" w:eastAsia="Calibri" w:hAnsi="Calibri"/>
          <w:sz w:val="19"/>
          <w:szCs w:val="19"/>
        </w:rPr>
        <w:t xml:space="preserve">A fixed 80/20 random split (seed = 42) yields 3,642 training and 911 test observations. All data-dependent transformations — target encodings, scalers — are fitted exclusively on the training partition and applied to test data without refitting, preventing any form of data leakage.</w:t>
      </w:r>
    </w:p>
    <w:p>
      <w:pPr>
        <w:pBdr>
          <w:bottom w:val="single" w:color="dde3ea" w:sz="4" w:space="4"/>
        </w:pBdr>
        <w:spacing w:before="260" w:after="100"/>
      </w:pPr>
      <w:r>
        <w:rPr>
          <w:rFonts w:ascii="Calibri" w:cs="Calibri" w:eastAsia="Calibri" w:hAnsi="Calibri"/>
          <w:b/>
          <w:bCs/>
          <w:color w:val="1a2e4a"/>
          <w:sz w:val="24"/>
          <w:szCs w:val="24"/>
        </w:rPr>
        <w:t xml:space="preserve">3. Exploratory Data Analysis</w:t>
      </w:r>
    </w:p>
    <w:p>
      <w:pPr>
        <w:spacing w:before="0" w:after="100" w:line="276"/>
        <w:jc w:val="both"/>
      </w:pPr>
      <w:r>
        <w:rPr>
          <w:rFonts w:ascii="Calibri" w:cs="Calibri" w:eastAsia="Calibri" w:hAnsi="Calibri"/>
          <w:sz w:val="19"/>
          <w:szCs w:val="19"/>
        </w:rPr>
        <w:t xml:space="preserve">Exploratory analysis directly motivated each group of engineered features. Sale prices range from $7,800 to $26.6 million (median $465K, mean $558K) with strong right skew; log-transforming the target produces a near-Gaussian distribution and aligns the objective with MAPE's emphasis on relative error.</w:t>
      </w:r>
    </w:p>
    <w:p>
      <w:pPr>
        <w:spacing w:before="0" w:after="80"/>
      </w:pPr>
    </w:p>
    <w:p>
      <w:pPr>
        <w:spacing w:before="0" w:after="60"/>
        <w:jc w:val="center"/>
      </w:pPr>
      <w:r>
        <w:drawing>
          <wp:inline distT="0" distB="0" distL="0" distR="0">
            <wp:extent cx="429577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95775" cy="1143000"/>
                    </a:xfrm>
                    <a:prstGeom prst="rect">
                      <a:avLst/>
                    </a:prstGeom>
                  </pic:spPr>
                </pic:pic>
              </a:graphicData>
            </a:graphic>
          </wp:inline>
        </w:drawing>
      </w:r>
    </w:p>
    <w:p>
      <w:pPr>
        <w:spacing w:before="40" w:after="120"/>
        <w:jc w:val="center"/>
      </w:pPr>
      <w:r>
        <w:rPr>
          <w:rFonts w:ascii="Calibri" w:cs="Calibri" w:eastAsia="Calibri" w:hAnsi="Calibri"/>
          <w:i/>
          <w:iCs/>
          <w:color w:val="555555"/>
          <w:sz w:val="17"/>
          <w:szCs w:val="17"/>
        </w:rPr>
        <w:t xml:space="preserve">Figure 1. (a) U-shaped age–price curve motivating log_house_age and is_new; (b) non-linear condition premium with disproportionate jump at score 5 motivating top_condition; (c) 6× median price range across cities motivating target encoding.</w:t>
      </w:r>
    </w:p>
    <w:p>
      <w:pPr>
        <w:spacing w:before="0" w:after="100" w:line="276"/>
        <w:jc w:val="both"/>
      </w:pPr>
      <w:r>
        <w:rPr>
          <w:rFonts w:ascii="Calibri" w:cs="Calibri" w:eastAsia="Calibri" w:hAnsi="Calibri"/>
          <w:b/>
          <w:bCs/>
          <w:sz w:val="19"/>
          <w:szCs w:val="19"/>
        </w:rPr>
        <w:t xml:space="preserve">Age–price non-linearity (Figure 1a). </w:t>
      </w:r>
      <w:r>
        <w:rPr>
          <w:rFonts w:ascii="Calibri" w:cs="Calibri" w:eastAsia="Calibri" w:hAnsi="Calibri"/>
          <w:sz w:val="19"/>
          <w:szCs w:val="19"/>
        </w:rPr>
        <w:t xml:space="preserve">New builds (age ≤ 5) and pre-1920 character properties command premiums above mid-century construction — motivating log_house_age and is_new. </w:t>
      </w:r>
      <w:r>
        <w:rPr>
          <w:rFonts w:ascii="Calibri" w:cs="Calibri" w:eastAsia="Calibri" w:hAnsi="Calibri"/>
          <w:b/>
          <w:bCs/>
          <w:sz w:val="19"/>
          <w:szCs w:val="19"/>
        </w:rPr>
        <w:t xml:space="preserve">Condition non-linearity (Figure 1b). </w:t>
      </w:r>
      <w:r>
        <w:rPr>
          <w:rFonts w:ascii="Calibri" w:cs="Calibri" w:eastAsia="Calibri" w:hAnsi="Calibri"/>
          <w:sz w:val="19"/>
          <w:szCs w:val="19"/>
        </w:rPr>
        <w:t xml:space="preserve">A disproportionate jump at condition 5 motivates top_condition (binary) and condition × age interaction. </w:t>
      </w:r>
      <w:r>
        <w:rPr>
          <w:rFonts w:ascii="Calibri" w:cs="Calibri" w:eastAsia="Calibri" w:hAnsi="Calibri"/>
          <w:b/>
          <w:bCs/>
          <w:sz w:val="19"/>
          <w:szCs w:val="19"/>
        </w:rPr>
        <w:t xml:space="preserve">Location heterogeneity (Figure 1c). </w:t>
      </w:r>
      <w:r>
        <w:rPr>
          <w:rFonts w:ascii="Calibri" w:cs="Calibri" w:eastAsia="Calibri" w:hAnsi="Calibri"/>
          <w:sz w:val="19"/>
          <w:szCs w:val="19"/>
        </w:rPr>
        <w:t xml:space="preserve">A 6× price range across cities motivates raw target encoding for city and ZIP.</w:t>
      </w:r>
    </w:p>
    <w:p>
      <w:pPr>
        <w:spacing w:before="0" w:after="80"/>
      </w:pPr>
    </w:p>
    <w:p>
      <w:pPr>
        <w:spacing w:before="0" w:after="60"/>
        <w:jc w:val="center"/>
      </w:pPr>
      <w:r>
        <w:drawing>
          <wp:inline distT="0" distB="0" distL="0" distR="0">
            <wp:extent cx="429577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2295525"/>
                    </a:xfrm>
                    <a:prstGeom prst="rect">
                      <a:avLst/>
                    </a:prstGeom>
                  </pic:spPr>
                </pic:pic>
              </a:graphicData>
            </a:graphic>
          </wp:inline>
        </w:drawing>
      </w:r>
    </w:p>
    <w:p>
      <w:pPr>
        <w:spacing w:before="40" w:after="120"/>
        <w:jc w:val="center"/>
      </w:pPr>
      <w:r>
        <w:rPr>
          <w:rFonts w:ascii="Calibri" w:cs="Calibri" w:eastAsia="Calibri" w:hAnsi="Calibri"/>
          <w:i/>
          <w:iCs/>
          <w:color w:val="555555"/>
          <w:sz w:val="17"/>
          <w:szCs w:val="17"/>
        </w:rPr>
        <w:t xml:space="preserve">Figure 2. Top: (a) concave size–price curve motivating log + log² terms; (b) log(sqft) linearises vs log(price), validating log transform; (c) sqft per bedroom (r=0.59) motivates space-quality ratio. Bottom: (d) non-linear view premium ladder motivating ordinal view feature; (e) 159% waterfront premium motivating binary flag; (f) renovation recency premium motivating recent_reno over raw binary flag.</w:t>
      </w:r>
    </w:p>
    <w:p>
      <w:pPr>
        <w:spacing w:before="0" w:after="100" w:line="276"/>
        <w:jc w:val="both"/>
      </w:pPr>
      <w:r>
        <w:rPr>
          <w:rFonts w:ascii="Calibri" w:cs="Calibri" w:eastAsia="Calibri" w:hAnsi="Calibri"/>
          <w:b/>
          <w:bCs/>
          <w:sz w:val="19"/>
          <w:szCs w:val="19"/>
        </w:rPr>
        <w:t xml:space="preserve">Size (Figures 2a–2c). </w:t>
      </w:r>
      <w:r>
        <w:rPr>
          <w:rFonts w:ascii="Calibri" w:cs="Calibri" w:eastAsia="Calibri" w:hAnsi="Calibri"/>
          <w:sz w:val="19"/>
          <w:szCs w:val="19"/>
        </w:rPr>
        <w:t xml:space="preserve">Concave size–price curve; log-transforming yields r = 0.66 and motivates log_sqft_living_sq for residual curvature. sqft_per_bedroom independently captures layout quality. </w:t>
      </w:r>
      <w:r>
        <w:rPr>
          <w:rFonts w:ascii="Calibri" w:cs="Calibri" w:eastAsia="Calibri" w:hAnsi="Calibri"/>
          <w:b/>
          <w:bCs/>
          <w:sz w:val="19"/>
          <w:szCs w:val="19"/>
        </w:rPr>
        <w:t xml:space="preserve">View and waterfront (Figures 2d–2e). </w:t>
      </w:r>
      <w:r>
        <w:rPr>
          <w:rFonts w:ascii="Calibri" w:cs="Calibri" w:eastAsia="Calibri" w:hAnsi="Calibri"/>
          <w:sz w:val="19"/>
          <w:szCs w:val="19"/>
        </w:rPr>
        <w:t xml:space="preserve">View premium rises non-linearly from $445K (score 0) to $1.15M (score 4); waterfront commands 159% premium — both retained as independent features. </w:t>
      </w:r>
      <w:r>
        <w:rPr>
          <w:rFonts w:ascii="Calibri" w:cs="Calibri" w:eastAsia="Calibri" w:hAnsi="Calibri"/>
          <w:b/>
          <w:bCs/>
          <w:sz w:val="19"/>
          <w:szCs w:val="19"/>
        </w:rPr>
        <w:t xml:space="preserve">Renovation recency (Figure 2f). </w:t>
      </w:r>
      <w:r>
        <w:rPr>
          <w:rFonts w:ascii="Calibri" w:cs="Calibri" w:eastAsia="Calibri" w:hAnsi="Calibri"/>
          <w:sz w:val="19"/>
          <w:szCs w:val="19"/>
        </w:rPr>
        <w:t xml:space="preserve">Raw renovation binary is a poor predictor (renovated median $440K vs $485K overall — confounded with age). Recent renovations (≤5 years) do command a premium, motivating recent_reno.</w:t>
      </w:r>
    </w:p>
    <w:p>
      <w:pPr>
        <w:spacing w:before="0" w:after="80"/>
      </w:pPr>
    </w:p>
    <w:p>
      <w:pPr>
        <w:spacing w:before="0" w:after="60"/>
        <w:jc w:val="center"/>
      </w:pPr>
      <w:r>
        <w:drawing>
          <wp:inline distT="0" distB="0" distL="0" distR="0">
            <wp:extent cx="42957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95775" cy="2505075"/>
                    </a:xfrm>
                    <a:prstGeom prst="rect">
                      <a:avLst/>
                    </a:prstGeom>
                  </pic:spPr>
                </pic:pic>
              </a:graphicData>
            </a:graphic>
          </wp:inline>
        </w:drawing>
      </w:r>
    </w:p>
    <w:p>
      <w:pPr>
        <w:spacing w:before="40" w:after="120"/>
        <w:jc w:val="center"/>
      </w:pPr>
      <w:r>
        <w:rPr>
          <w:rFonts w:ascii="Calibri" w:cs="Calibri" w:eastAsia="Calibri" w:hAnsi="Calibri"/>
          <w:i/>
          <w:iCs/>
          <w:color w:val="555555"/>
          <w:sz w:val="17"/>
          <w:szCs w:val="17"/>
        </w:rPr>
        <w:t xml:space="preserve">Figure 3. Mean sale price ($M) by ZIP code and street compass direction. Within-ZIP directional spreads average 26% in non-waterfront ZIPs — not just lakefront areas — motivating zip_dir_lp and zip_dir_x_sqft features.</w:t>
      </w:r>
    </w:p>
    <w:p>
      <w:pPr>
        <w:spacing w:before="0" w:after="100" w:line="276"/>
        <w:jc w:val="both"/>
      </w:pPr>
      <w:r>
        <w:rPr>
          <w:rFonts w:ascii="Calibri" w:cs="Calibri" w:eastAsia="Calibri" w:hAnsi="Calibri"/>
          <w:b/>
          <w:bCs/>
          <w:sz w:val="19"/>
          <w:szCs w:val="19"/>
        </w:rPr>
        <w:t xml:space="preserve">Street direction (Figure 3). </w:t>
      </w:r>
      <w:r>
        <w:rPr>
          <w:rFonts w:ascii="Calibri" w:cs="Calibri" w:eastAsia="Calibri" w:hAnsi="Calibri"/>
          <w:sz w:val="19"/>
          <w:szCs w:val="19"/>
        </w:rPr>
        <w:t xml:space="preserve">Within-ZIP price variation by compass direction averages 26% in non-waterfront ZIPs. Correlation with the waterfront binary is only r = 0.05, confirming direction and waterfront are independent signals, motivating the ZIP × direction target encoding.</w:t>
      </w:r>
    </w:p>
    <w:p>
      <w:pPr>
        <w:pBdr>
          <w:bottom w:val="single" w:color="dde3ea" w:sz="4" w:space="4"/>
        </w:pBdr>
        <w:spacing w:before="260" w:after="100"/>
      </w:pPr>
      <w:r>
        <w:rPr>
          <w:rFonts w:ascii="Calibri" w:cs="Calibri" w:eastAsia="Calibri" w:hAnsi="Calibri"/>
          <w:b/>
          <w:bCs/>
          <w:color w:val="1a2e4a"/>
          <w:sz w:val="24"/>
          <w:szCs w:val="24"/>
        </w:rPr>
        <w:t xml:space="preserve">4. Feature Engineering</w:t>
      </w:r>
    </w:p>
    <w:p>
      <w:pPr>
        <w:spacing w:before="0" w:after="100" w:line="276"/>
        <w:jc w:val="both"/>
      </w:pPr>
      <w:r>
        <w:rPr>
          <w:rFonts w:ascii="Calibri" w:cs="Calibri" w:eastAsia="Calibri" w:hAnsi="Calibri"/>
          <w:sz w:val="19"/>
          <w:szCs w:val="19"/>
        </w:rPr>
        <w:t xml:space="preserve">Feature engineering proceeded empirically, guided by EDA findings, domain knowledge, and Lasso regularisation path diagnostics. The Lasso path (Section 5.1) established that predictive performance saturates near 12 features; this informed the design of a lean, interpretable primary model rather than a large undifferentiated feature pool.</w:t>
      </w:r>
    </w:p>
    <w:p>
      <w:pPr>
        <w:spacing w:before="180" w:after="60"/>
      </w:pPr>
      <w:r>
        <w:rPr>
          <w:rFonts w:ascii="Calibri" w:cs="Calibri" w:eastAsia="Calibri" w:hAnsi="Calibri"/>
          <w:b/>
          <w:bCs/>
          <w:color w:val="2c5f8a"/>
          <w:sz w:val="21"/>
          <w:szCs w:val="21"/>
        </w:rPr>
        <w:t xml:space="preserve">4.1 Target Variable</w:t>
      </w:r>
    </w:p>
    <w:p>
      <w:pPr>
        <w:spacing w:before="0" w:after="100" w:line="276"/>
        <w:jc w:val="both"/>
      </w:pPr>
      <w:r>
        <w:rPr>
          <w:rFonts w:ascii="Calibri" w:cs="Calibri" w:eastAsia="Calibri" w:hAnsi="Calibri"/>
          <w:sz w:val="19"/>
          <w:szCs w:val="19"/>
        </w:rPr>
        <w:t xml:space="preserve">The modelling target is log(</w:t>
      </w:r>
      <w:r>
        <w:rPr>
          <w:rFonts w:ascii="Calibri" w:cs="Calibri" w:eastAsia="Calibri" w:hAnsi="Calibri"/>
          <w:i/>
          <w:iCs/>
          <w:sz w:val="19"/>
          <w:szCs w:val="19"/>
        </w:rPr>
        <w:t xml:space="preserve">price</w:t>
      </w:r>
      <w:r>
        <w:rPr>
          <w:rFonts w:ascii="Calibri" w:cs="Calibri" w:eastAsia="Calibri" w:hAnsi="Calibri"/>
          <w:sz w:val="19"/>
          <w:szCs w:val="19"/>
        </w:rPr>
        <w:t xml:space="preserve">). Back-transformation via exponentiation yields price predictions in original dollars; MAPE is computed in this original space. Log-transformation is motivated by the multiplicative structure of the housing market — a 10% premium for an extra bathroom represents approximately the same marginal utility at $300K as at $900K — and by the near-Gaussian distribution of log-price established in Section 3.</w:t>
      </w:r>
    </w:p>
    <w:p>
      <w:pPr>
        <w:spacing w:before="180" w:after="60"/>
      </w:pPr>
      <w:r>
        <w:rPr>
          <w:rFonts w:ascii="Calibri" w:cs="Calibri" w:eastAsia="Calibri" w:hAnsi="Calibri"/>
          <w:b/>
          <w:bCs/>
          <w:color w:val="2c5f8a"/>
          <w:sz w:val="21"/>
          <w:szCs w:val="21"/>
        </w:rPr>
        <w:t xml:space="preserve">4.2 Target-Encoded Features</w:t>
      </w:r>
    </w:p>
    <w:p>
      <w:pPr>
        <w:spacing w:before="0" w:after="100" w:line="276"/>
        <w:jc w:val="both"/>
      </w:pPr>
      <w:r>
        <w:rPr>
          <w:rFonts w:ascii="Calibri" w:cs="Calibri" w:eastAsia="Calibri" w:hAnsi="Calibri"/>
          <w:sz w:val="19"/>
          <w:szCs w:val="19"/>
        </w:rPr>
        <w:t xml:space="preserve">Three categorical variables are converted to numeric via </w:t>
      </w:r>
      <w:r>
        <w:rPr>
          <w:rFonts w:ascii="Calibri" w:cs="Calibri" w:eastAsia="Calibri" w:hAnsi="Calibri"/>
          <w:b/>
          <w:bCs/>
          <w:sz w:val="19"/>
          <w:szCs w:val="19"/>
        </w:rPr>
        <w:t xml:space="preserve">raw target encoding</w:t>
      </w:r>
      <w:r>
        <w:rPr>
          <w:rFonts w:ascii="Calibri" w:cs="Calibri" w:eastAsia="Calibri" w:hAnsi="Calibri"/>
          <w:sz w:val="19"/>
          <w:szCs w:val="19"/>
        </w:rPr>
        <w:t xml:space="preserve">: city (44 levels) and ZIP code (77 levels) — both geographic — and build era (6 levels), which is an </w:t>
      </w:r>
      <w:r>
        <w:rPr>
          <w:rFonts w:ascii="Calibri" w:cs="Calibri" w:eastAsia="Calibri" w:hAnsi="Calibri"/>
          <w:b/>
          <w:bCs/>
          <w:sz w:val="19"/>
          <w:szCs w:val="19"/>
        </w:rPr>
        <w:t xml:space="preserve">age feature</w:t>
      </w:r>
      <w:r>
        <w:rPr>
          <w:rFonts w:ascii="Calibri" w:cs="Calibri" w:eastAsia="Calibri" w:hAnsi="Calibri"/>
          <w:sz w:val="19"/>
          <w:szCs w:val="19"/>
        </w:rPr>
        <w:t xml:space="preserve">, not a location feature. Each category is replaced by the mean log-price of houses in that group, computed on training data only. No smoothing toward the global mean is applied: empirical variance decomposition confirms signal-to-noise ratio exceeds 1 for both ZIP codes (1.19×) and cities (0.99×), so group means are more informative than noise and do not require regularisation. Unseen categories in the test set fall back to the global training mean.</w:t>
      </w:r>
    </w:p>
    <w:p>
      <w:pPr>
        <w:spacing w:before="180" w:after="60"/>
      </w:pPr>
      <w:r>
        <w:rPr>
          <w:rFonts w:ascii="Calibri" w:cs="Calibri" w:eastAsia="Calibri" w:hAnsi="Calibri"/>
          <w:b/>
          <w:bCs/>
          <w:color w:val="2c5f8a"/>
          <w:sz w:val="21"/>
          <w:szCs w:val="21"/>
        </w:rPr>
        <w:t xml:space="preserve">4.3 Remaining Feature Groups</w:t>
      </w:r>
    </w:p>
    <w:p>
      <w:pPr>
        <w:spacing w:before="0" w:after="100" w:line="276"/>
        <w:jc w:val="both"/>
      </w:pPr>
      <w:r>
        <w:rPr>
          <w:rFonts w:ascii="Calibri" w:cs="Calibri" w:eastAsia="Calibri" w:hAnsi="Calibri"/>
          <w:sz w:val="19"/>
          <w:szCs w:val="19"/>
        </w:rPr>
        <w:t xml:space="preserve">Key design decisions across the remaining groups: </w:t>
      </w:r>
      <w:r>
        <w:rPr>
          <w:rFonts w:ascii="Calibri" w:cs="Calibri" w:eastAsia="Calibri" w:hAnsi="Calibri"/>
          <w:i/>
          <w:iCs/>
          <w:sz w:val="19"/>
          <w:szCs w:val="19"/>
        </w:rPr>
        <w:t xml:space="preserve">effective_age</w:t>
      </w:r>
      <w:r>
        <w:rPr>
          <w:rFonts w:ascii="Calibri" w:cs="Calibri" w:eastAsia="Calibri" w:hAnsi="Calibri"/>
          <w:sz w:val="19"/>
          <w:szCs w:val="19"/>
        </w:rPr>
        <w:t xml:space="preserve"> uses the renovation year where valid, falling back to yr_built — guarding against the 386 erroneous entries from Section 2.3. </w:t>
      </w:r>
      <w:r>
        <w:rPr>
          <w:rFonts w:ascii="Calibri" w:cs="Calibri" w:eastAsia="Calibri" w:hAnsi="Calibri"/>
          <w:i/>
          <w:iCs/>
          <w:sz w:val="19"/>
          <w:szCs w:val="19"/>
        </w:rPr>
        <w:t xml:space="preserve">cond_x_age</w:t>
      </w:r>
      <w:r>
        <w:rPr>
          <w:rFonts w:ascii="Calibri" w:cs="Calibri" w:eastAsia="Calibri" w:hAnsi="Calibri"/>
          <w:sz w:val="19"/>
          <w:szCs w:val="19"/>
        </w:rPr>
        <w:t xml:space="preserve"> encodes sustained upkeep commanding a disproportionate premium. Four KNN features (median and distance-weighted means at k=10 and k=25) are fitted on training data with leave-one-out and re-fitted per CV fold. Four </w:t>
      </w:r>
      <w:r>
        <w:rPr>
          <w:rFonts w:ascii="Calibri" w:cs="Calibri" w:eastAsia="Calibri" w:hAnsi="Calibri"/>
          <w:b/>
          <w:bCs/>
          <w:sz w:val="19"/>
          <w:szCs w:val="19"/>
        </w:rPr>
        <w:t xml:space="preserve">frequency/demand features</w:t>
      </w:r>
      <w:r>
        <w:rPr>
          <w:rFonts w:ascii="Calibri" w:cs="Calibri" w:eastAsia="Calibri" w:hAnsi="Calibri"/>
          <w:sz w:val="19"/>
          <w:szCs w:val="19"/>
        </w:rPr>
        <w:t xml:space="preserve"> encode log transaction count per ZIP/city; interaction terms capture demand × price level (all r &lt; 0.23 with existing features). Three </w:t>
      </w:r>
      <w:r>
        <w:rPr>
          <w:rFonts w:ascii="Calibri" w:cs="Calibri" w:eastAsia="Calibri" w:hAnsi="Calibri"/>
          <w:b/>
          <w:bCs/>
          <w:sz w:val="19"/>
          <w:szCs w:val="19"/>
        </w:rPr>
        <w:t xml:space="preserve">street direction features</w:t>
      </w:r>
      <w:r>
        <w:rPr>
          <w:rFonts w:ascii="Calibri" w:cs="Calibri" w:eastAsia="Calibri" w:hAnsi="Calibri"/>
          <w:sz w:val="19"/>
          <w:szCs w:val="19"/>
        </w:rPr>
        <w:t xml:space="preserve"> extract the compass prefix from each street address (96.4% coverage): </w:t>
      </w:r>
      <w:r>
        <w:rPr>
          <w:rFonts w:ascii="Calibri" w:cs="Calibri" w:eastAsia="Calibri" w:hAnsi="Calibri"/>
          <w:i/>
          <w:iCs/>
          <w:sz w:val="19"/>
          <w:szCs w:val="19"/>
        </w:rPr>
        <w:t xml:space="preserve">dir_lp</w:t>
      </w:r>
      <w:r>
        <w:rPr>
          <w:rFonts w:ascii="Calibri" w:cs="Calibri" w:eastAsia="Calibri" w:hAnsi="Calibri"/>
          <w:sz w:val="19"/>
          <w:szCs w:val="19"/>
        </w:rPr>
        <w:t xml:space="preserve"> (target-encoded direction), </w:t>
      </w:r>
      <w:r>
        <w:rPr>
          <w:rFonts w:ascii="Calibri" w:cs="Calibri" w:eastAsia="Calibri" w:hAnsi="Calibri"/>
          <w:i/>
          <w:iCs/>
          <w:sz w:val="19"/>
          <w:szCs w:val="19"/>
        </w:rPr>
        <w:t xml:space="preserve">zip_dir_lp</w:t>
      </w:r>
      <w:r>
        <w:rPr>
          <w:rFonts w:ascii="Calibri" w:cs="Calibri" w:eastAsia="Calibri" w:hAnsi="Calibri"/>
          <w:sz w:val="19"/>
          <w:szCs w:val="19"/>
        </w:rPr>
        <w:t xml:space="preserve"> (ZIP × direction interaction — captures ZIP-specific directional premiums identified in EDA Figure 3), and </w:t>
      </w:r>
      <w:r>
        <w:rPr>
          <w:rFonts w:ascii="Calibri" w:cs="Calibri" w:eastAsia="Calibri" w:hAnsi="Calibri"/>
          <w:i/>
          <w:iCs/>
          <w:sz w:val="19"/>
          <w:szCs w:val="19"/>
        </w:rPr>
        <w:t xml:space="preserve">zip_dir_x_sqft</w:t>
      </w:r>
      <w:r>
        <w:rPr>
          <w:rFonts w:ascii="Calibri" w:cs="Calibri" w:eastAsia="Calibri" w:hAnsi="Calibri"/>
          <w:sz w:val="19"/>
          <w:szCs w:val="19"/>
        </w:rPr>
        <w:t xml:space="preserve"> (ZIP × direction × log(sqft)); partial r vs lean features = 0.16. All 40 candidate features are listed in Table 3.</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126"/>
      </w:tblGrid>
      <w:tr>
        <w:trPr>
          <w:tblHeader/>
        </w:trPr>
        <w:tc>
          <w:tcPr>
            <w:tcW w:type="dxa" w:w="16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Group</w:t>
            </w:r>
          </w:p>
        </w:tc>
        <w:tc>
          <w:tcPr>
            <w:tcW w:type="dxa" w:w="33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Candidate features (40 total)</w:t>
            </w:r>
          </w:p>
        </w:tc>
        <w:tc>
          <w:tcPr>
            <w:tcW w:type="dxa" w:w="4126"/>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Motivation</w:t>
            </w:r>
          </w:p>
        </w:tc>
      </w:tr>
      <w:tr>
        <w:tc>
          <w:tcPr>
            <w:tcW w:type="dxa" w:w="1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Location (4)</w:t>
            </w:r>
          </w:p>
        </w:tc>
        <w:tc>
          <w:tcPr>
            <w:tcW w:type="dxa" w:w="3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city_lp, zip_lp, zip_city_diff, zip_x_sqft</w:t>
            </w:r>
          </w:p>
        </w:tc>
        <w:tc>
          <w:tcPr>
            <w:tcW w:type="dxa" w:w="41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Raw target encodings for city and ZIP; zip_x_sqft captures neighbourhood × size interaction</w:t>
            </w:r>
          </w:p>
        </w:tc>
      </w:tr>
      <w:tr>
        <w:tc>
          <w:tcPr>
            <w:tcW w:type="dxa" w:w="1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Size (7)</w:t>
            </w:r>
          </w:p>
        </w:tc>
        <w:tc>
          <w:tcPr>
            <w:tcW w:type="dxa" w:w="33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log_sqft_living, log_sqft_above, log_sqft_basement, log_sqft_lot, log_sqft_living_sq, living_to_lot, basement_ratio</w:t>
            </w:r>
          </w:p>
        </w:tc>
        <w:tc>
          <w:tcPr>
            <w:tcW w:type="dxa" w:w="41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Log-transformed; quadratic log term for concave size curve; ratios for relative size signals</w:t>
            </w:r>
          </w:p>
        </w:tc>
      </w:tr>
      <w:tr>
        <w:tc>
          <w:tcPr>
            <w:tcW w:type="dxa" w:w="1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Rooms (4)</w:t>
            </w:r>
          </w:p>
        </w:tc>
        <w:tc>
          <w:tcPr>
            <w:tcW w:type="dxa" w:w="3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bathrooms, floors, sqft_per_bedroom, bath_bed_ratio</w:t>
            </w:r>
          </w:p>
        </w:tc>
        <w:tc>
          <w:tcPr>
            <w:tcW w:type="dxa" w:w="41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Quality and spaciousness proxies; space per bedroom as layout quality indicator</w:t>
            </w:r>
          </w:p>
        </w:tc>
      </w:tr>
      <w:tr>
        <w:tc>
          <w:tcPr>
            <w:tcW w:type="dxa" w:w="1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Condition (3)</w:t>
            </w:r>
          </w:p>
        </w:tc>
        <w:tc>
          <w:tcPr>
            <w:tcW w:type="dxa" w:w="33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condition, cond_x_age, top_condition</w:t>
            </w:r>
          </w:p>
        </w:tc>
        <w:tc>
          <w:tcPr>
            <w:tcW w:type="dxa" w:w="41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Ordinal rating; interaction with age (moderation effect); binary flag for non-linear jump at 5</w:t>
            </w:r>
          </w:p>
        </w:tc>
      </w:tr>
      <w:tr>
        <w:tc>
          <w:tcPr>
            <w:tcW w:type="dxa" w:w="1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Age (5)</w:t>
            </w:r>
          </w:p>
        </w:tc>
        <w:tc>
          <w:tcPr>
            <w:tcW w:type="dxa" w:w="3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era_lp, house_age, log_house_age, effective_age, is_new</w:t>
            </w:r>
          </w:p>
        </w:tc>
        <w:tc>
          <w:tcPr>
            <w:tcW w:type="dxa" w:w="41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era_lp captures U-shaped age-price relationship non-parametrically; raw and log age; new-build flag</w:t>
            </w:r>
          </w:p>
        </w:tc>
      </w:tr>
      <w:tr>
        <w:tc>
          <w:tcPr>
            <w:tcW w:type="dxa" w:w="1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Renovation (3)</w:t>
            </w:r>
          </w:p>
        </w:tc>
        <w:tc>
          <w:tcPr>
            <w:tcW w:type="dxa" w:w="33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was_renovated, recent_reno, reno_lag</w:t>
            </w:r>
          </w:p>
        </w:tc>
        <w:tc>
          <w:tcPr>
            <w:tcW w:type="dxa" w:w="41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Binary flag; recency indicator (≤10 yrs); lag between build and renovation year</w:t>
            </w:r>
          </w:p>
        </w:tc>
      </w:tr>
      <w:tr>
        <w:tc>
          <w:tcPr>
            <w:tcW w:type="dxa" w:w="1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View/Water (2)</w:t>
            </w:r>
          </w:p>
        </w:tc>
        <w:tc>
          <w:tcPr>
            <w:tcW w:type="dxa" w:w="3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view, waterfront</w:t>
            </w:r>
          </w:p>
        </w:tc>
        <w:tc>
          <w:tcPr>
            <w:tcW w:type="dxa" w:w="41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Ordinal view score (0–4); waterfront binary. any_view (r=0.93) and view_x_wf (r=0.98) excluded</w:t>
            </w:r>
          </w:p>
        </w:tc>
      </w:tr>
      <w:tr>
        <w:tc>
          <w:tcPr>
            <w:tcW w:type="dxa" w:w="1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Time (1)</w:t>
            </w:r>
          </w:p>
        </w:tc>
        <w:tc>
          <w:tcPr>
            <w:tcW w:type="dxa" w:w="33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month_sold</w:t>
            </w:r>
          </w:p>
        </w:tc>
        <w:tc>
          <w:tcPr>
            <w:tcW w:type="dxa" w:w="41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Seasonal variation within the 70-day transaction window</w:t>
            </w:r>
          </w:p>
        </w:tc>
      </w:tr>
      <w:tr>
        <w:tc>
          <w:tcPr>
            <w:tcW w:type="dxa" w:w="1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Frequency (4)</w:t>
            </w:r>
          </w:p>
        </w:tc>
        <w:tc>
          <w:tcPr>
            <w:tcW w:type="dxa" w:w="3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log_zip_freq, log_city_freq, zip_freq_x_lp, city_freq_x_lp</w:t>
            </w:r>
          </w:p>
        </w:tc>
        <w:tc>
          <w:tcPr>
            <w:tcW w:type="dxa" w:w="41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Transaction count per ZIP/city; interaction encodes demand × price level; all r&lt;0.23</w:t>
            </w:r>
          </w:p>
        </w:tc>
      </w:tr>
      <w:tr>
        <w:tc>
          <w:tcPr>
            <w:tcW w:type="dxa" w:w="1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Direction (3)</w:t>
            </w:r>
          </w:p>
        </w:tc>
        <w:tc>
          <w:tcPr>
            <w:tcW w:type="dxa" w:w="33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dir_lp, zip_dir_lp, zip_dir_x_sqft</w:t>
            </w:r>
          </w:p>
        </w:tc>
        <w:tc>
          <w:tcPr>
            <w:tcW w:type="dxa" w:w="41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ZIP × direction target encoding; captures ZIP-specific directional premiums from EDA Figure 3</w:t>
            </w:r>
          </w:p>
        </w:tc>
      </w:tr>
      <w:tr>
        <w:tc>
          <w:tcPr>
            <w:tcW w:type="dxa" w:w="1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KNN (4)</w:t>
            </w:r>
          </w:p>
        </w:tc>
        <w:tc>
          <w:tcPr>
            <w:tcW w:type="dxa" w:w="3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knn_median, knn_weighted_mean, knn_broad_weighted, knn_local_vs_broad</w:t>
            </w:r>
          </w:p>
        </w:tc>
        <w:tc>
          <w:tcPr>
            <w:tcW w:type="dxa" w:w="41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Dual-scale comparable-sales: k=10 hyperlocal + k=25 broad; leave-one-out; re-fitted per CV fold</w:t>
            </w:r>
          </w:p>
        </w:tc>
      </w:tr>
    </w:tbl>
    <w:p>
      <w:pPr>
        <w:spacing w:before="40" w:after="120"/>
        <w:jc w:val="center"/>
      </w:pPr>
      <w:r>
        <w:rPr>
          <w:rFonts w:ascii="Calibri" w:cs="Calibri" w:eastAsia="Calibri" w:hAnsi="Calibri"/>
          <w:i/>
          <w:iCs/>
          <w:color w:val="555555"/>
          <w:sz w:val="17"/>
          <w:szCs w:val="17"/>
        </w:rPr>
        <w:t xml:space="preserve">Table 3. The 40 candidate features submitted to Lasso feature selection. KNN and direction features are re-fitted inside each CV fold to prevent leakage.</w:t>
      </w:r>
    </w:p>
    <w:p>
      <w:pPr>
        <w:pBdr>
          <w:bottom w:val="single" w:color="dde3ea" w:sz="4" w:space="4"/>
        </w:pBdr>
        <w:spacing w:before="260" w:after="100"/>
      </w:pPr>
      <w:r>
        <w:rPr>
          <w:rFonts w:ascii="Calibri" w:cs="Calibri" w:eastAsia="Calibri" w:hAnsi="Calibri"/>
          <w:b/>
          <w:bCs/>
          <w:color w:val="1a2e4a"/>
          <w:sz w:val="24"/>
          <w:szCs w:val="24"/>
        </w:rPr>
        <w:t xml:space="preserve">5. Modelling</w:t>
      </w:r>
    </w:p>
    <w:p>
      <w:pPr>
        <w:spacing w:before="180" w:after="60"/>
      </w:pPr>
      <w:r>
        <w:rPr>
          <w:rFonts w:ascii="Calibri" w:cs="Calibri" w:eastAsia="Calibri" w:hAnsi="Calibri"/>
          <w:b/>
          <w:bCs/>
          <w:color w:val="2c5f8a"/>
          <w:sz w:val="21"/>
          <w:szCs w:val="21"/>
        </w:rPr>
        <w:t xml:space="preserve">5.1 Feature Selection via Lasso Regularisation Path</w:t>
      </w:r>
    </w:p>
    <w:p>
      <w:pPr>
        <w:spacing w:before="0" w:after="100" w:line="276"/>
        <w:jc w:val="both"/>
      </w:pPr>
      <w:r>
        <w:rPr>
          <w:rFonts w:ascii="Calibri" w:cs="Calibri" w:eastAsia="Calibri" w:hAnsi="Calibri"/>
          <w:sz w:val="19"/>
          <w:szCs w:val="19"/>
        </w:rPr>
        <w:t xml:space="preserve">Feature selection applies Lasso to the full 40-feature candidate pool (Table 3), sweeping 60 regularisation strengths (α ∈ [10</w:t>
      </w:r>
      <w:r>
        <w:rPr>
          <w:rFonts w:ascii="Calibri" w:cs="Calibri" w:eastAsia="Calibri" w:hAnsi="Calibri"/>
          <w:sz w:val="19"/>
          <w:szCs w:val="19"/>
          <w:vertAlign w:val="superscript"/>
        </w:rPr>
        <w:t xml:space="preserve">−4</w:t>
      </w:r>
      <w:r>
        <w:rPr>
          <w:rFonts w:ascii="Calibri" w:cs="Calibri" w:eastAsia="Calibri" w:hAnsi="Calibri"/>
          <w:sz w:val="19"/>
          <w:szCs w:val="19"/>
        </w:rPr>
        <w:t xml:space="preserve">, 10</w:t>
      </w:r>
      <w:r>
        <w:rPr>
          <w:rFonts w:ascii="Calibri" w:cs="Calibri" w:eastAsia="Calibri" w:hAnsi="Calibri"/>
          <w:sz w:val="19"/>
          <w:szCs w:val="19"/>
          <w:vertAlign w:val="superscript"/>
        </w:rPr>
        <w:t xml:space="preserve">0</w:t>
      </w:r>
      <w:r>
        <w:rPr>
          <w:rFonts w:ascii="Calibri" w:cs="Calibri" w:eastAsia="Calibri" w:hAnsi="Calibri"/>
          <w:sz w:val="19"/>
          <w:szCs w:val="19"/>
        </w:rPr>
        <w:t xml:space="preserve">]). At each α, surviving features are evaluated by 5-fold CV with re-encoding inside each fold to prevent leakage. The feature count is chosen using the </w:t>
      </w:r>
      <w:r>
        <w:rPr>
          <w:rFonts w:ascii="Calibri" w:cs="Calibri" w:eastAsia="Calibri" w:hAnsi="Calibri"/>
          <w:b/>
          <w:bCs/>
          <w:sz w:val="19"/>
          <w:szCs w:val="19"/>
        </w:rPr>
        <w:t xml:space="preserve">elbow method</w:t>
      </w:r>
      <w:r>
        <w:rPr>
          <w:rFonts w:ascii="Calibri" w:cs="Calibri" w:eastAsia="Calibri" w:hAnsi="Calibri"/>
          <w:sz w:val="19"/>
          <w:szCs w:val="19"/>
        </w:rPr>
        <w:t xml:space="preserve"> on the CV MAPE curve, supported by SE analysis.</w:t>
      </w:r>
    </w:p>
    <w:p>
      <w:pPr>
        <w:spacing w:before="0" w:after="80"/>
      </w:pPr>
    </w:p>
    <w:p>
      <w:pPr>
        <w:spacing w:before="0" w:after="60"/>
        <w:jc w:val="center"/>
      </w:pPr>
      <w:r>
        <w:drawing>
          <wp:inline distT="0" distB="0" distL="0" distR="0">
            <wp:extent cx="42957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95775" cy="2152650"/>
                    </a:xfrm>
                    <a:prstGeom prst="rect">
                      <a:avLst/>
                    </a:prstGeom>
                  </pic:spPr>
                </pic:pic>
              </a:graphicData>
            </a:graphic>
          </wp:inline>
        </w:drawing>
      </w:r>
    </w:p>
    <w:p>
      <w:pPr>
        <w:spacing w:before="40" w:after="120"/>
        <w:jc w:val="center"/>
      </w:pPr>
      <w:r>
        <w:rPr>
          <w:rFonts w:ascii="Calibri" w:cs="Calibri" w:eastAsia="Calibri" w:hAnsi="Calibri"/>
          <w:i/>
          <w:iCs/>
          <w:color w:val="555555"/>
          <w:sz w:val="17"/>
          <w:szCs w:val="17"/>
        </w:rPr>
        <w:t xml:space="preserve">Figure 4. CV MAPE (with ±1 SE bands) and test MAPE as a function of feature count along the Lasso path. The geometric elbow occurs at n=12, the point of maximum curvature. Beyond the elbow every marginal gain is smaller than 0.5 SE — statistically indistinguishable from fold-sampling noise.</w:t>
      </w:r>
    </w:p>
    <w:p>
      <w:pPr>
        <w:spacing w:before="0" w:after="100" w:line="276"/>
        <w:jc w:val="both"/>
      </w:pPr>
      <w:r>
        <w:rPr>
          <w:rFonts w:ascii="Calibri" w:cs="Calibri" w:eastAsia="Calibri" w:hAnsi="Calibri"/>
          <w:sz w:val="19"/>
          <w:szCs w:val="19"/>
        </w:rPr>
        <w:t xml:space="preserve">The CV curve drops sharply from n=1 to n=12 (MAPE 19.7% → 17.94%), then flattens completely. Beyond the elbow, every additional feature produces a marginal CV gain smaller than 0.5 SE (SE ≈ ±0.60pp per fold). The 12 elbow features are listed in Table 4.</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26"/>
      </w:tblGrid>
      <w:tr>
        <w:trPr>
          <w:tblHeader/>
        </w:trPr>
        <w:tc>
          <w:tcPr>
            <w:tcW w:type="dxa" w:w="14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Group</w:t>
            </w:r>
          </w:p>
        </w:tc>
        <w:tc>
          <w:tcPr>
            <w:tcW w:type="dxa" w:w="40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Selected (n=12, at elbow)</w:t>
            </w:r>
          </w:p>
        </w:tc>
        <w:tc>
          <w:tcPr>
            <w:tcW w:type="dxa" w:w="3626"/>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Dropped / below elbow</w:t>
            </w:r>
          </w:p>
        </w:tc>
      </w:tr>
      <w:tr>
        <w:tc>
          <w:tcPr>
            <w:tcW w:type="dxa" w:w="1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Location</w:t>
            </w:r>
          </w:p>
        </w:tc>
        <w:tc>
          <w:tcPr>
            <w:tcW w:type="dxa" w:w="4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36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city_lp, zip_lp, zip_x_sqft</w:t>
            </w:r>
          </w:p>
        </w:tc>
      </w:tr>
      <w:tr>
        <w:tc>
          <w:tcPr>
            <w:tcW w:type="dxa" w:w="1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Size</w:t>
            </w:r>
          </w:p>
        </w:tc>
        <w:tc>
          <w:tcPr>
            <w:tcW w:type="dxa" w:w="4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log_sqft_above</w:t>
            </w:r>
          </w:p>
        </w:tc>
        <w:tc>
          <w:tcPr>
            <w:tcW w:type="dxa" w:w="36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log_sqft_living, log_sqft_basement, log_sqft_lot, log_sqft_living_sq, living_to_lot, basement_ratio</w:t>
            </w:r>
          </w:p>
        </w:tc>
      </w:tr>
      <w:tr>
        <w:tc>
          <w:tcPr>
            <w:tcW w:type="dxa" w:w="1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Rooms</w:t>
            </w:r>
          </w:p>
        </w:tc>
        <w:tc>
          <w:tcPr>
            <w:tcW w:type="dxa" w:w="4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sqft_per_bedroom</w:t>
            </w:r>
          </w:p>
        </w:tc>
        <w:tc>
          <w:tcPr>
            <w:tcW w:type="dxa" w:w="36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bathrooms, floors, bath_bed_ratio</w:t>
            </w:r>
          </w:p>
        </w:tc>
      </w:tr>
      <w:tr>
        <w:tc>
          <w:tcPr>
            <w:tcW w:type="dxa" w:w="1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Condition</w:t>
            </w:r>
          </w:p>
        </w:tc>
        <w:tc>
          <w:tcPr>
            <w:tcW w:type="dxa" w:w="4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condition</w:t>
            </w:r>
          </w:p>
        </w:tc>
        <w:tc>
          <w:tcPr>
            <w:tcW w:type="dxa" w:w="36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cond_x_age, top_condition</w:t>
            </w:r>
          </w:p>
        </w:tc>
      </w:tr>
      <w:tr>
        <w:tc>
          <w:tcPr>
            <w:tcW w:type="dxa" w:w="1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Age</w:t>
            </w:r>
          </w:p>
        </w:tc>
        <w:tc>
          <w:tcPr>
            <w:tcW w:type="dxa" w:w="4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36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era_lp, house_age, log_house_age, effective_age, is_new</w:t>
            </w:r>
          </w:p>
        </w:tc>
      </w:tr>
      <w:tr>
        <w:tc>
          <w:tcPr>
            <w:tcW w:type="dxa" w:w="1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Renovation</w:t>
            </w:r>
          </w:p>
        </w:tc>
        <w:tc>
          <w:tcPr>
            <w:tcW w:type="dxa" w:w="4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36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was_renovated, recent_reno, reno_lag</w:t>
            </w:r>
          </w:p>
        </w:tc>
      </w:tr>
      <w:tr>
        <w:tc>
          <w:tcPr>
            <w:tcW w:type="dxa" w:w="1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View/Water</w:t>
            </w:r>
          </w:p>
        </w:tc>
        <w:tc>
          <w:tcPr>
            <w:tcW w:type="dxa" w:w="4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view, waterfront</w:t>
            </w:r>
          </w:p>
        </w:tc>
        <w:tc>
          <w:tcPr>
            <w:tcW w:type="dxa" w:w="36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r>
      <w:tr>
        <w:tc>
          <w:tcPr>
            <w:tcW w:type="dxa" w:w="1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Time</w:t>
            </w:r>
          </w:p>
        </w:tc>
        <w:tc>
          <w:tcPr>
            <w:tcW w:type="dxa" w:w="4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36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month_sold</w:t>
            </w:r>
          </w:p>
        </w:tc>
      </w:tr>
      <w:tr>
        <w:tc>
          <w:tcPr>
            <w:tcW w:type="dxa" w:w="1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Frequency</w:t>
            </w:r>
          </w:p>
        </w:tc>
        <w:tc>
          <w:tcPr>
            <w:tcW w:type="dxa" w:w="4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city_freq_x_lp</w:t>
            </w:r>
          </w:p>
        </w:tc>
        <w:tc>
          <w:tcPr>
            <w:tcW w:type="dxa" w:w="36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log_zip_freq, log_city_freq, zip_freq_x_lp</w:t>
            </w:r>
          </w:p>
        </w:tc>
      </w:tr>
      <w:tr>
        <w:tc>
          <w:tcPr>
            <w:tcW w:type="dxa" w:w="1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Direction</w:t>
            </w:r>
          </w:p>
        </w:tc>
        <w:tc>
          <w:tcPr>
            <w:tcW w:type="dxa" w:w="4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dir_lp, zip_dir_lp, zip_dir_x_sqft</w:t>
            </w:r>
          </w:p>
        </w:tc>
        <w:tc>
          <w:tcPr>
            <w:tcW w:type="dxa" w:w="36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r>
      <w:tr>
        <w:tc>
          <w:tcPr>
            <w:tcW w:type="dxa" w:w="1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KNN</w:t>
            </w:r>
          </w:p>
        </w:tc>
        <w:tc>
          <w:tcPr>
            <w:tcW w:type="dxa" w:w="4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knn_median, knn_weighted_mean, knn_broad_weighted</w:t>
            </w:r>
          </w:p>
        </w:tc>
        <w:tc>
          <w:tcPr>
            <w:tcW w:type="dxa" w:w="36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knn_local_vs_broad</w:t>
            </w:r>
          </w:p>
        </w:tc>
      </w:tr>
    </w:tbl>
    <w:p>
      <w:pPr>
        <w:spacing w:before="40" w:after="120"/>
        <w:jc w:val="center"/>
      </w:pPr>
      <w:r>
        <w:rPr>
          <w:rFonts w:ascii="Calibri" w:cs="Calibri" w:eastAsia="Calibri" w:hAnsi="Calibri"/>
          <w:i/>
          <w:iCs/>
          <w:color w:val="555555"/>
          <w:sz w:val="17"/>
          <w:szCs w:val="17"/>
        </w:rPr>
        <w:t xml:space="preserve">Table 4. The 12 features selected at the Lasso path elbow (CV MAPE = 17.94%, SE = ±0.60pp). Features below the elbow had marginal CV gains below 0.5 SE — statistically undetectable on this dataset.</w:t>
      </w:r>
    </w:p>
    <w:p>
      <w:pPr>
        <w:spacing w:before="180" w:after="60"/>
      </w:pPr>
      <w:r>
        <w:rPr>
          <w:rFonts w:ascii="Calibri" w:cs="Calibri" w:eastAsia="Calibri" w:hAnsi="Calibri"/>
          <w:b/>
          <w:bCs/>
          <w:color w:val="2c5f8a"/>
          <w:sz w:val="21"/>
          <w:szCs w:val="21"/>
        </w:rPr>
        <w:t xml:space="preserve">5.2 Regularisation Strategy</w:t>
      </w:r>
    </w:p>
    <w:p>
      <w:pPr>
        <w:spacing w:before="0" w:after="100" w:line="276"/>
        <w:jc w:val="both"/>
      </w:pPr>
      <w:r>
        <w:rPr>
          <w:rFonts w:ascii="Calibri" w:cs="Calibri" w:eastAsia="Calibri" w:hAnsi="Calibri"/>
          <w:sz w:val="19"/>
          <w:szCs w:val="19"/>
        </w:rPr>
        <w:t xml:space="preserve">The modelling pipeline uses a deliberate two-stage design: </w:t>
      </w:r>
      <w:r>
        <w:rPr>
          <w:rFonts w:ascii="Calibri" w:cs="Calibri" w:eastAsia="Calibri" w:hAnsi="Calibri"/>
          <w:b/>
          <w:bCs/>
          <w:sz w:val="19"/>
          <w:szCs w:val="19"/>
        </w:rPr>
        <w:t xml:space="preserve">Lasso (L1) for feature selection, Ridge (L2) for prediction.</w:t>
      </w:r>
      <w:r>
        <w:rPr>
          <w:rFonts w:ascii="Calibri" w:cs="Calibri" w:eastAsia="Calibri" w:hAnsi="Calibri"/>
          <w:sz w:val="19"/>
          <w:szCs w:val="19"/>
        </w:rPr>
        <w:t xml:space="preserve"> L1 regularisation adds a penalty of λΣ|β</w:t>
      </w:r>
      <w:r>
        <w:rPr>
          <w:rFonts w:ascii="Calibri" w:cs="Calibri" w:eastAsia="Calibri" w:hAnsi="Calibri"/>
          <w:sz w:val="19"/>
          <w:szCs w:val="19"/>
          <w:vertAlign w:val="subscript"/>
        </w:rPr>
        <w:t xml:space="preserve">j</w:t>
      </w:r>
      <w:r>
        <w:rPr>
          <w:rFonts w:ascii="Calibri" w:cs="Calibri" w:eastAsia="Calibri" w:hAnsi="Calibri"/>
          <w:sz w:val="19"/>
          <w:szCs w:val="19"/>
        </w:rPr>
        <w:t xml:space="preserve">| to the loss; the corner of the absolute-value function at zero drives some coefficients to </w:t>
      </w:r>
      <w:r>
        <w:rPr>
          <w:rFonts w:ascii="Calibri" w:cs="Calibri" w:eastAsia="Calibri" w:hAnsi="Calibri"/>
          <w:i/>
          <w:iCs/>
          <w:sz w:val="19"/>
          <w:szCs w:val="19"/>
        </w:rPr>
        <w:t xml:space="preserve">exactly</w:t>
      </w:r>
      <w:r>
        <w:rPr>
          <w:rFonts w:ascii="Calibri" w:cs="Calibri" w:eastAsia="Calibri" w:hAnsi="Calibri"/>
          <w:sz w:val="19"/>
          <w:szCs w:val="19"/>
        </w:rPr>
        <w:t xml:space="preserve"> zero, making Lasso a natural selector that produces a sparse feature set. Once the </w:t>
      </w:r>
      <w:r>
        <w:rPr>
          <w:rFonts w:ascii="Calibri" w:cs="Calibri" w:eastAsia="Calibri" w:hAnsi="Calibri"/>
          <w:sz w:val="19"/>
          <w:szCs w:val="19"/>
        </w:rPr>
        <w:t xml:space="preserve">12</w:t>
      </w:r>
      <w:r>
        <w:rPr>
          <w:rFonts w:ascii="Calibri" w:cs="Calibri" w:eastAsia="Calibri" w:hAnsi="Calibri"/>
          <w:sz w:val="19"/>
          <w:szCs w:val="19"/>
        </w:rPr>
        <w:t xml:space="preserve">-feature set is fixed, L2 regularisation adds λΣβ</w:t>
      </w:r>
      <w:r>
        <w:rPr>
          <w:rFonts w:ascii="Calibri" w:cs="Calibri" w:eastAsia="Calibri" w:hAnsi="Calibri"/>
          <w:sz w:val="19"/>
          <w:szCs w:val="19"/>
          <w:vertAlign w:val="subscript"/>
        </w:rPr>
        <w:t xml:space="preserve">j</w:t>
      </w:r>
      <w:r>
        <w:rPr>
          <w:rFonts w:ascii="Calibri" w:cs="Calibri" w:eastAsia="Calibri" w:hAnsi="Calibri"/>
          <w:sz w:val="19"/>
          <w:szCs w:val="19"/>
        </w:rPr>
        <w:t xml:space="preserve">² instead; the squared term never drives coefficients to zero — it shrinks all of them simultaneously and proportionally. This is preferable for prediction: the selected features include correlated pairs (e.g. zip_dir_lp and zip_dir_x_sqft; knn_median and knn_weighted_mean) where L1's winner-takes-all zeroing would arbitrarily discard one, while L2 distributes weight stably across both. Ridge also has a closed-form solution and is numerically stable under collinearity. The regularisation strength α = </w:t>
      </w:r>
      <w:r>
        <w:rPr>
          <w:rFonts w:ascii="Calibri" w:cs="Calibri" w:eastAsia="Calibri" w:hAnsi="Calibri"/>
          <w:sz w:val="19"/>
          <w:szCs w:val="19"/>
        </w:rPr>
        <w:t xml:space="preserve">100</w:t>
      </w:r>
      <w:r>
        <w:rPr>
          <w:rFonts w:ascii="Calibri" w:cs="Calibri" w:eastAsia="Calibri" w:hAnsi="Calibri"/>
          <w:sz w:val="19"/>
          <w:szCs w:val="19"/>
        </w:rPr>
        <w:t xml:space="preserve"> was selected by 5-fold cross-validation over α ∈ {0.01, 0.1, 0.5, 1, 5, 10, 50, 100}.</w:t>
      </w:r>
    </w:p>
    <w:p>
      <w:pPr>
        <w:spacing w:before="180" w:after="60"/>
      </w:pPr>
      <w:r>
        <w:rPr>
          <w:rFonts w:ascii="Calibri" w:cs="Calibri" w:eastAsia="Calibri" w:hAnsi="Calibri"/>
          <w:b/>
          <w:bCs/>
          <w:color w:val="2c5f8a"/>
          <w:sz w:val="21"/>
          <w:szCs w:val="21"/>
        </w:rPr>
        <w:t xml:space="preserve">5.3 Validation Protocol</w:t>
      </w:r>
    </w:p>
    <w:p>
      <w:pPr>
        <w:spacing w:before="0" w:after="100" w:line="276"/>
        <w:jc w:val="both"/>
      </w:pPr>
      <w:r>
        <w:rPr>
          <w:rFonts w:ascii="Calibri" w:cs="Calibri" w:eastAsia="Calibri" w:hAnsi="Calibri"/>
          <w:sz w:val="19"/>
          <w:szCs w:val="19"/>
        </w:rPr>
        <w:t xml:space="preserve">All hyperparameter selection uses 5-fold cross-validation on the training set. Features requiring data-dependent fitting (target encodings, KNN, scalers) are re-fitted inside each fold. Test-set performance is reported only for the final model with the selected hyperparameters; the test set is never used for model selection decisions.</w:t>
      </w:r>
    </w:p>
    <w:p>
      <w:pPr>
        <w:pBdr>
          <w:bottom w:val="single" w:color="dde3ea" w:sz="4" w:space="4"/>
        </w:pBdr>
        <w:spacing w:before="260" w:after="100"/>
      </w:pPr>
      <w:r>
        <w:rPr>
          <w:rFonts w:ascii="Calibri" w:cs="Calibri" w:eastAsia="Calibri" w:hAnsi="Calibri"/>
          <w:b/>
          <w:bCs/>
          <w:color w:val="1a2e4a"/>
          <w:sz w:val="24"/>
          <w:szCs w:val="24"/>
        </w:rPr>
        <w:t xml:space="preserve">6. Results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300"/>
        <w:gridCol w:w="1300"/>
        <w:gridCol w:w="1300"/>
        <w:gridCol w:w="1726"/>
      </w:tblGrid>
      <w:tr>
        <w:trPr>
          <w:tblHeader/>
        </w:trPr>
        <w:tc>
          <w:tcPr>
            <w:tcW w:type="dxa" w:w="32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Model</w:t>
            </w:r>
          </w:p>
        </w:tc>
        <w:tc>
          <w:tcPr>
            <w:tcW w:type="dxa" w:w="12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Features</w:t>
            </w:r>
          </w:p>
        </w:tc>
        <w:tc>
          <w:tcPr>
            <w:tcW w:type="dxa" w:w="13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CV MAPE</w:t>
            </w:r>
          </w:p>
        </w:tc>
        <w:tc>
          <w:tcPr>
            <w:tcW w:type="dxa" w:w="13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Train MAPE</w:t>
            </w:r>
          </w:p>
        </w:tc>
        <w:tc>
          <w:tcPr>
            <w:tcW w:type="dxa" w:w="13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Test MAPE</w:t>
            </w:r>
          </w:p>
        </w:tc>
        <w:tc>
          <w:tcPr>
            <w:tcW w:type="dxa" w:w="1726"/>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Gap (Test−Train)</w:t>
            </w:r>
          </w:p>
        </w:tc>
      </w:tr>
      <w:tr>
        <w:tc>
          <w:tcPr>
            <w:tcW w:type="dxa" w:w="3200"/>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left"/>
            </w:pPr>
            <w:r>
              <w:rPr>
                <w:rFonts w:ascii="Calibri" w:cs="Calibri" w:eastAsia="Calibri" w:hAnsi="Calibri"/>
                <w:b/>
                <w:bCs/>
                <w:color w:val="000000"/>
                <w:sz w:val="17"/>
                <w:szCs w:val="17"/>
              </w:rPr>
              <w:t xml:space="preserve">Lean Ridge (primary)</w:t>
            </w:r>
          </w:p>
        </w:tc>
        <w:tc>
          <w:tcPr>
            <w:tcW w:type="dxa" w:w="1200"/>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center"/>
            </w:pPr>
            <w:r>
              <w:rPr>
                <w:rFonts w:ascii="Calibri" w:cs="Calibri" w:eastAsia="Calibri" w:hAnsi="Calibri"/>
                <w:b/>
                <w:bCs/>
                <w:color w:val="000000"/>
                <w:sz w:val="17"/>
                <w:szCs w:val="17"/>
              </w:rPr>
              <w:t xml:space="preserve">12</w:t>
            </w:r>
          </w:p>
        </w:tc>
        <w:tc>
          <w:tcPr>
            <w:tcW w:type="dxa" w:w="1300"/>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center"/>
            </w:pPr>
            <w:r>
              <w:rPr>
                <w:rFonts w:ascii="Calibri" w:cs="Calibri" w:eastAsia="Calibri" w:hAnsi="Calibri"/>
                <w:b/>
                <w:bCs/>
                <w:color w:val="000000"/>
                <w:sz w:val="17"/>
                <w:szCs w:val="17"/>
              </w:rPr>
              <w:t xml:space="preserve">17.94%</w:t>
            </w:r>
          </w:p>
        </w:tc>
        <w:tc>
          <w:tcPr>
            <w:tcW w:type="dxa" w:w="1300"/>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center"/>
            </w:pPr>
            <w:r>
              <w:rPr>
                <w:rFonts w:ascii="Calibri" w:cs="Calibri" w:eastAsia="Calibri" w:hAnsi="Calibri"/>
                <w:b/>
                <w:bCs/>
                <w:color w:val="000000"/>
                <w:sz w:val="17"/>
                <w:szCs w:val="17"/>
              </w:rPr>
              <w:t xml:space="preserve">17.13%</w:t>
            </w:r>
          </w:p>
        </w:tc>
        <w:tc>
          <w:tcPr>
            <w:tcW w:type="dxa" w:w="1300"/>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center"/>
            </w:pPr>
            <w:r>
              <w:rPr>
                <w:rFonts w:ascii="Calibri" w:cs="Calibri" w:eastAsia="Calibri" w:hAnsi="Calibri"/>
                <w:b/>
                <w:bCs/>
                <w:color w:val="000000"/>
                <w:sz w:val="17"/>
                <w:szCs w:val="17"/>
              </w:rPr>
              <w:t xml:space="preserve">15.98%</w:t>
            </w:r>
          </w:p>
        </w:tc>
        <w:tc>
          <w:tcPr>
            <w:tcW w:type="dxa" w:w="1726"/>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center"/>
            </w:pPr>
            <w:r>
              <w:rPr>
                <w:rFonts w:ascii="Calibri" w:cs="Calibri" w:eastAsia="Calibri" w:hAnsi="Calibri"/>
                <w:b/>
                <w:bCs/>
                <w:color w:val="000000"/>
                <w:sz w:val="17"/>
                <w:szCs w:val="17"/>
              </w:rPr>
              <w:t xml:space="preserve">-1.1498pp</w:t>
            </w:r>
          </w:p>
        </w:tc>
      </w:tr>
    </w:tbl>
    <w:p>
      <w:pPr>
        <w:spacing w:before="40" w:after="120"/>
        <w:jc w:val="center"/>
      </w:pPr>
      <w:r>
        <w:rPr>
          <w:rFonts w:ascii="Calibri" w:cs="Calibri" w:eastAsia="Calibri" w:hAnsi="Calibri"/>
          <w:i/>
          <w:iCs/>
          <w:color w:val="555555"/>
          <w:sz w:val="17"/>
          <w:szCs w:val="17"/>
        </w:rPr>
        <w:t xml:space="preserve">Table 5. Lean Ridge results on the deduplicated dataset (4,553 properties, 80/20 split, seed=42). 12 elbow-selected features, α=100. Gap = Test MAPE − Train MAPE; the negative value on this seed reflects split-composition noise (average gap near zero across six random splits). XGBoost benchmark results are in Table 8 (Section 8).</w:t>
      </w:r>
    </w:p>
    <w:p>
      <w:pPr>
        <w:spacing w:before="0" w:after="80"/>
      </w:pPr>
    </w:p>
    <w:p>
      <w:pPr>
        <w:spacing w:before="0" w:after="60"/>
        <w:jc w:val="center"/>
      </w:pPr>
      <w:r>
        <w:drawing>
          <wp:inline distT="0" distB="0" distL="0" distR="0">
            <wp:extent cx="429577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95775" cy="1533525"/>
                    </a:xfrm>
                    <a:prstGeom prst="rect">
                      <a:avLst/>
                    </a:prstGeom>
                  </pic:spPr>
                </pic:pic>
              </a:graphicData>
            </a:graphic>
          </wp:inline>
        </w:drawing>
      </w:r>
    </w:p>
    <w:p>
      <w:pPr>
        <w:spacing w:before="40" w:after="120"/>
        <w:jc w:val="center"/>
      </w:pPr>
      <w:r>
        <w:rPr>
          <w:rFonts w:ascii="Calibri" w:cs="Calibri" w:eastAsia="Calibri" w:hAnsi="Calibri"/>
          <w:i/>
          <w:iCs/>
          <w:color w:val="555555"/>
          <w:sz w:val="17"/>
          <w:szCs w:val="17"/>
        </w:rPr>
        <w:t xml:space="preserve">Figure 5. Left: test MAPE for Lean Ridge (15.98%) and XGBoost benchmarks. Right: XGBoost train vs test MAPE — Default configuration (train=5.6%, test=15.5%) is severely overfit, making it a misleading benchmark; Conservative and Early Stopping are honest comparators. Lean Ridge trails XGB Conservative by only +0.360 pp.</w:t>
      </w:r>
    </w:p>
    <w:p>
      <w:pPr>
        <w:spacing w:before="0" w:after="100" w:line="276"/>
        <w:jc w:val="both"/>
      </w:pPr>
      <w:r>
        <w:rPr>
          <w:rFonts w:ascii="Calibri" w:cs="Calibri" w:eastAsia="Calibri" w:hAnsi="Calibri"/>
          <w:sz w:val="19"/>
          <w:szCs w:val="19"/>
        </w:rPr>
        <w:t xml:space="preserve">The lean 12-feature Ridge model achieves 15.98% test MAPE with a train/test gap of -1.1498pp (test better than train on this split). This sign is not a structural property: seed stability across six splits shows the gap averaging near zero (three negative, three positive), driven by split-composition noise with 911 test rows. When negative, three mechanisms contribute — (1) α=100 deliberately inflates training error via L2 shrinkage; (2) KNN leave-one-out gives training rows slightly noisier features; (3) MAPE in price-space versus log-space optimisation. XGBoost benchmarks are discussed in Section 8.</w:t>
      </w:r>
    </w:p>
    <w:p>
      <w:pPr>
        <w:spacing w:before="180" w:after="60"/>
      </w:pPr>
      <w:r>
        <w:rPr>
          <w:rFonts w:ascii="Calibri" w:cs="Calibri" w:eastAsia="Calibri" w:hAnsi="Calibri"/>
          <w:b/>
          <w:bCs/>
          <w:color w:val="2c5f8a"/>
          <w:sz w:val="21"/>
          <w:szCs w:val="21"/>
        </w:rPr>
        <w:t xml:space="preserve">6.1 Performance by Price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000"/>
        <w:gridCol w:w="4726"/>
      </w:tblGrid>
      <w:tr>
        <w:trPr>
          <w:tblHeader/>
        </w:trPr>
        <w:tc>
          <w:tcPr>
            <w:tcW w:type="dxa" w:w="20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Price Segment</w:t>
            </w:r>
          </w:p>
        </w:tc>
        <w:tc>
          <w:tcPr>
            <w:tcW w:type="dxa" w:w="13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Test MAPE</w:t>
            </w:r>
          </w:p>
        </w:tc>
        <w:tc>
          <w:tcPr>
            <w:tcW w:type="dxa" w:w="10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Count</w:t>
            </w:r>
          </w:p>
        </w:tc>
        <w:tc>
          <w:tcPr>
            <w:tcW w:type="dxa" w:w="4726"/>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Notes</w:t>
            </w:r>
          </w:p>
        </w:tc>
      </w:tr>
      <w:tr>
        <w:tc>
          <w:tcPr>
            <w:tcW w:type="dxa" w:w="2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&lt; $200K</w:t>
            </w:r>
          </w:p>
        </w:tc>
        <w:tc>
          <w:tcPr>
            <w:tcW w:type="dxa" w:w="1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32.5%</w:t>
            </w:r>
          </w:p>
        </w:tc>
        <w:tc>
          <w:tcPr>
            <w:tcW w:type="dxa" w:w="1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32</w:t>
            </w:r>
          </w:p>
        </w:tc>
        <w:tc>
          <w:tcPr>
            <w:tcW w:type="dxa" w:w="47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Distressed/atypical sales; regression-to-mean from sparse training data</w:t>
            </w:r>
          </w:p>
        </w:tc>
      </w:tr>
      <w:tr>
        <w:tc>
          <w:tcPr>
            <w:tcW w:type="dxa" w:w="2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$200K – $400K</w:t>
            </w:r>
          </w:p>
        </w:tc>
        <w:tc>
          <w:tcPr>
            <w:tcW w:type="dxa" w:w="13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15.2%</w:t>
            </w:r>
          </w:p>
        </w:tc>
        <w:tc>
          <w:tcPr>
            <w:tcW w:type="dxa" w:w="1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309</w:t>
            </w:r>
          </w:p>
        </w:tc>
        <w:tc>
          <w:tcPr>
            <w:tcW w:type="dxa" w:w="47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Core market — strong model performance</w:t>
            </w:r>
          </w:p>
        </w:tc>
      </w:tr>
      <w:tr>
        <w:tc>
          <w:tcPr>
            <w:tcW w:type="dxa" w:w="2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$400K – $600K</w:t>
            </w:r>
          </w:p>
        </w:tc>
        <w:tc>
          <w:tcPr>
            <w:tcW w:type="dxa" w:w="1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13.8%</w:t>
            </w:r>
          </w:p>
        </w:tc>
        <w:tc>
          <w:tcPr>
            <w:tcW w:type="dxa" w:w="1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288</w:t>
            </w:r>
          </w:p>
        </w:tc>
        <w:tc>
          <w:tcPr>
            <w:tcW w:type="dxa" w:w="47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Highest-density segment — best performance</w:t>
            </w:r>
          </w:p>
        </w:tc>
      </w:tr>
      <w:tr>
        <w:tc>
          <w:tcPr>
            <w:tcW w:type="dxa" w:w="2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$600K – $800K</w:t>
            </w:r>
          </w:p>
        </w:tc>
        <w:tc>
          <w:tcPr>
            <w:tcW w:type="dxa" w:w="13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13.4%</w:t>
            </w:r>
          </w:p>
        </w:tc>
        <w:tc>
          <w:tcPr>
            <w:tcW w:type="dxa" w:w="1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139</w:t>
            </w:r>
          </w:p>
        </w:tc>
        <w:tc>
          <w:tcPr>
            <w:tcW w:type="dxa" w:w="47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Consistent with core market</w:t>
            </w:r>
          </w:p>
        </w:tc>
      </w:tr>
      <w:tr>
        <w:tc>
          <w:tcPr>
            <w:tcW w:type="dxa" w:w="2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$800K – $1M</w:t>
            </w:r>
          </w:p>
        </w:tc>
        <w:tc>
          <w:tcPr>
            <w:tcW w:type="dxa" w:w="1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14.9%</w:t>
            </w:r>
          </w:p>
        </w:tc>
        <w:tc>
          <w:tcPr>
            <w:tcW w:type="dxa" w:w="1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68</w:t>
            </w:r>
          </w:p>
        </w:tc>
        <w:tc>
          <w:tcPr>
            <w:tcW w:type="dxa" w:w="47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Slight increase; smaller sample</w:t>
            </w:r>
          </w:p>
        </w:tc>
      </w:tr>
      <w:tr>
        <w:tc>
          <w:tcPr>
            <w:tcW w:type="dxa" w:w="2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$1M – $2M</w:t>
            </w:r>
          </w:p>
        </w:tc>
        <w:tc>
          <w:tcPr>
            <w:tcW w:type="dxa" w:w="13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23.3%</w:t>
            </w:r>
          </w:p>
        </w:tc>
        <w:tc>
          <w:tcPr>
            <w:tcW w:type="dxa" w:w="1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64</w:t>
            </w:r>
          </w:p>
        </w:tc>
        <w:tc>
          <w:tcPr>
            <w:tcW w:type="dxa" w:w="47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Luxury segment; idiosyncratic factors</w:t>
            </w:r>
          </w:p>
        </w:tc>
      </w:tr>
      <w:tr>
        <w:tc>
          <w:tcPr>
            <w:tcW w:type="dxa" w:w="2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&gt; $2M</w:t>
            </w:r>
          </w:p>
        </w:tc>
        <w:tc>
          <w:tcPr>
            <w:tcW w:type="dxa" w:w="13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51.3%</w:t>
            </w:r>
          </w:p>
        </w:tc>
        <w:tc>
          <w:tcPr>
            <w:tcW w:type="dxa" w:w="1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11</w:t>
            </w:r>
          </w:p>
        </w:tc>
        <w:tc>
          <w:tcPr>
            <w:tcW w:type="dxa" w:w="47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Ultra-luxury; too few training examples for reliable estimation</w:t>
            </w:r>
          </w:p>
        </w:tc>
      </w:tr>
    </w:tbl>
    <w:p>
      <w:pPr>
        <w:spacing w:before="40" w:after="120"/>
        <w:jc w:val="center"/>
      </w:pPr>
      <w:r>
        <w:rPr>
          <w:rFonts w:ascii="Calibri" w:cs="Calibri" w:eastAsia="Calibri" w:hAnsi="Calibri"/>
          <w:i/>
          <w:iCs/>
          <w:color w:val="555555"/>
          <w:sz w:val="17"/>
          <w:szCs w:val="17"/>
        </w:rPr>
        <w:t xml:space="preserve">Table 6. MAPE by price segment for the lean Ridge model. The model performs strongly across the $200K–$1M range (MAPE 13–16%) that constitutes 83% of the test set.</w:t>
      </w:r>
    </w:p>
    <w:p>
      <w:pPr>
        <w:pBdr>
          <w:bottom w:val="single" w:color="dde3ea" w:sz="4" w:space="4"/>
        </w:pBdr>
        <w:spacing w:before="260" w:after="100"/>
      </w:pPr>
      <w:r>
        <w:rPr>
          <w:rFonts w:ascii="Calibri" w:cs="Calibri" w:eastAsia="Calibri" w:hAnsi="Calibri"/>
          <w:b/>
          <w:bCs/>
          <w:color w:val="1a2e4a"/>
          <w:sz w:val="24"/>
          <w:szCs w:val="24"/>
        </w:rPr>
        <w:t xml:space="preserve">7. Model Interpretation</w:t>
      </w:r>
    </w:p>
    <w:p>
      <w:pPr>
        <w:spacing w:before="0" w:after="100" w:line="276"/>
        <w:jc w:val="both"/>
      </w:pPr>
      <w:r>
        <w:rPr>
          <w:rFonts w:ascii="Calibri" w:cs="Calibri" w:eastAsia="Calibri" w:hAnsi="Calibri"/>
          <w:sz w:val="19"/>
          <w:szCs w:val="19"/>
        </w:rPr>
        <w:t xml:space="preserve">All interpretation uses the standalone lean Ridge model (α = 100, 12 features). Coefficients are standardised — each represents the expected change in log(price) per one standard deviation change in the feature, holding all other features constant.</w:t>
      </w:r>
    </w:p>
    <w:p>
      <w:pPr>
        <w:spacing w:before="0" w:after="80"/>
      </w:pPr>
    </w:p>
    <w:p>
      <w:pPr>
        <w:spacing w:before="0" w:after="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71900" cy="2828925"/>
                    </a:xfrm>
                    <a:prstGeom prst="rect">
                      <a:avLst/>
                    </a:prstGeom>
                  </pic:spPr>
                </pic:pic>
              </a:graphicData>
            </a:graphic>
          </wp:inline>
        </w:drawing>
      </w:r>
    </w:p>
    <w:p>
      <w:pPr>
        <w:spacing w:before="40" w:after="120"/>
        <w:jc w:val="center"/>
      </w:pPr>
      <w:r>
        <w:rPr>
          <w:rFonts w:ascii="Calibri" w:cs="Calibri" w:eastAsia="Calibri" w:hAnsi="Calibri"/>
          <w:i/>
          <w:iCs/>
          <w:color w:val="555555"/>
          <w:sz w:val="17"/>
          <w:szCs w:val="17"/>
        </w:rPr>
        <w:t xml:space="preserve">Figure 6. Standardised Ridge coefficients for the lean 12-feature model. All 12 coefficients are positive. The two direction interaction features (zip_dir_x_sqft and zip_dir_lp) dominate, followed by the KNN comparable-sales features — confirming that directional orientation within a ZIP and comparable nearby sales are the primary price drivers.</w:t>
      </w:r>
    </w:p>
    <w:p>
      <w:pPr>
        <w:spacing w:before="0" w:after="80"/>
      </w:pPr>
    </w:p>
    <w:p>
      <w:pPr>
        <w:spacing w:before="0" w:after="60"/>
        <w:jc w:val="center"/>
      </w:pPr>
      <w:r>
        <w:drawing>
          <wp:inline distT="0" distB="0" distL="0" distR="0">
            <wp:extent cx="429577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95775" cy="1647825"/>
                    </a:xfrm>
                    <a:prstGeom prst="rect">
                      <a:avLst/>
                    </a:prstGeom>
                  </pic:spPr>
                </pic:pic>
              </a:graphicData>
            </a:graphic>
          </wp:inline>
        </w:drawing>
      </w:r>
    </w:p>
    <w:p>
      <w:pPr>
        <w:spacing w:before="40" w:after="120"/>
        <w:jc w:val="center"/>
      </w:pPr>
      <w:r>
        <w:rPr>
          <w:rFonts w:ascii="Calibri" w:cs="Calibri" w:eastAsia="Calibri" w:hAnsi="Calibri"/>
          <w:i/>
          <w:iCs/>
          <w:color w:val="555555"/>
          <w:sz w:val="17"/>
          <w:szCs w:val="17"/>
        </w:rPr>
        <w:t xml:space="preserve">Figure 7. Left: predicted vs actual prices. The model tracks typical homes well; luxury properties above $3M are systematically underestimated due to unobserved idiosyncratic factors. Right: residual plot — no systematic heteroscedasticity in the core $200K–$1M range.</w:t>
      </w:r>
    </w:p>
    <w:p>
      <w:pPr>
        <w:spacing w:before="180" w:after="60"/>
      </w:pPr>
      <w:r>
        <w:rPr>
          <w:rFonts w:ascii="Calibri" w:cs="Calibri" w:eastAsia="Calibri" w:hAnsi="Calibri"/>
          <w:b/>
          <w:bCs/>
          <w:color w:val="2c5f8a"/>
          <w:sz w:val="21"/>
          <w:szCs w:val="21"/>
        </w:rPr>
        <w:t xml:space="preserve">7.1 Feature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426"/>
      </w:tblGrid>
      <w:tr>
        <w:trPr>
          <w:tblHeader/>
        </w:trPr>
        <w:tc>
          <w:tcPr>
            <w:tcW w:type="dxa" w:w="20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Feature</w:t>
            </w:r>
          </w:p>
        </w:tc>
        <w:tc>
          <w:tcPr>
            <w:tcW w:type="dxa" w:w="6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Dir.</w:t>
            </w:r>
          </w:p>
        </w:tc>
        <w:tc>
          <w:tcPr>
            <w:tcW w:type="dxa" w:w="6426"/>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Interpretation</w:t>
            </w:r>
          </w:p>
        </w:tc>
      </w:tr>
      <w:tr>
        <w:tc>
          <w:tcPr>
            <w:tcW w:type="dxa" w:w="2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zip_dir_x_sqft</w:t>
            </w:r>
          </w:p>
        </w:tc>
        <w:tc>
          <w:tcPr>
            <w:tcW w:type="dxa" w:w="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ZIP × direction × log(sqft): directional premium scales with size. Largest coefficient. EDA heatmap shows NW/W streets in 98006/98033 face lake/mountains — effect amplified for larger homes</w:t>
            </w:r>
          </w:p>
        </w:tc>
      </w:tr>
      <w:tr>
        <w:tc>
          <w:tcPr>
            <w:tcW w:type="dxa" w:w="2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zip_dir_lp</w:t>
            </w:r>
          </w:p>
        </w:tc>
        <w:tc>
          <w:tcPr>
            <w:tcW w:type="dxa" w:w="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ZIP × direction target encoding: ZIP-specific directional premium. Primary carrier of the directional signal identified in EDA Figure 3</w:t>
            </w:r>
          </w:p>
        </w:tc>
      </w:tr>
      <w:tr>
        <w:tc>
          <w:tcPr>
            <w:tcW w:type="dxa" w:w="2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knn_broad_weighted</w:t>
            </w:r>
          </w:p>
        </w:tc>
        <w:tc>
          <w:tcPr>
            <w:tcW w:type="dxa" w:w="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Distance-weighted mean log-price of 25 broader neighbours (k=25): captures wider neighbourhood price context, complementing the hyperlocal KNN signal</w:t>
            </w:r>
          </w:p>
        </w:tc>
      </w:tr>
      <w:tr>
        <w:tc>
          <w:tcPr>
            <w:tcW w:type="dxa" w:w="2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knn_weighted_mean</w:t>
            </w:r>
          </w:p>
        </w:tc>
        <w:tc>
          <w:tcPr>
            <w:tcW w:type="dxa" w:w="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Distance-weighted mean log-price of 10 nearest neighbours: closer comparables weighted more heavily, giving finer micro-market resolution than median</w:t>
            </w:r>
          </w:p>
        </w:tc>
      </w:tr>
      <w:tr>
        <w:tc>
          <w:tcPr>
            <w:tcW w:type="dxa" w:w="2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log_sqft_above</w:t>
            </w:r>
          </w:p>
        </w:tc>
        <w:tc>
          <w:tcPr>
            <w:tcW w:type="dxa" w:w="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Log above-ground living area: separates the above-ground premium from basement space, which buyers value less per square foot</w:t>
            </w:r>
          </w:p>
        </w:tc>
      </w:tr>
      <w:tr>
        <w:tc>
          <w:tcPr>
            <w:tcW w:type="dxa" w:w="2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city_freq_x_lp</w:t>
            </w:r>
          </w:p>
        </w:tc>
        <w:tc>
          <w:tcPr>
            <w:tcW w:type="dxa" w:w="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City transaction frequency × city price level: demand/liquidity proxy. High-frequency, high-price cities command premium beyond ZIP encoding</w:t>
            </w:r>
          </w:p>
        </w:tc>
      </w:tr>
      <w:tr>
        <w:tc>
          <w:tcPr>
            <w:tcW w:type="dxa" w:w="2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sqft_per_bedroom</w:t>
            </w:r>
          </w:p>
        </w:tc>
        <w:tc>
          <w:tcPr>
            <w:tcW w:type="dxa" w:w="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Living area per bedroom: spaciousness and layout quality proxy; captures preference for fewer, larger rooms</w:t>
            </w:r>
          </w:p>
        </w:tc>
      </w:tr>
      <w:tr>
        <w:tc>
          <w:tcPr>
            <w:tcW w:type="dxa" w:w="2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knn_median</w:t>
            </w:r>
          </w:p>
        </w:tc>
        <w:tc>
          <w:tcPr>
            <w:tcW w:type="dxa" w:w="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Median log-price of 10 nearest comparable properties (k=10): directly encodes the comparable-sales heuristic used by professional appraisers</w:t>
            </w:r>
          </w:p>
        </w:tc>
      </w:tr>
      <w:tr>
        <w:tc>
          <w:tcPr>
            <w:tcW w:type="dxa" w:w="2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view</w:t>
            </w:r>
          </w:p>
        </w:tc>
        <w:tc>
          <w:tcPr>
            <w:tcW w:type="dxa" w:w="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Ordinal view score (0–4): view premium independent of directional orientation</w:t>
            </w:r>
          </w:p>
        </w:tc>
      </w:tr>
      <w:tr>
        <w:tc>
          <w:tcPr>
            <w:tcW w:type="dxa" w:w="2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condition</w:t>
            </w:r>
          </w:p>
        </w:tc>
        <w:tc>
          <w:tcPr>
            <w:tcW w:type="dxa" w:w="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Property condition (1–5): physical upkeep premium, independent of age and size</w:t>
            </w:r>
          </w:p>
        </w:tc>
      </w:tr>
      <w:tr>
        <w:tc>
          <w:tcPr>
            <w:tcW w:type="dxa" w:w="20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dir_lp</w:t>
            </w:r>
          </w:p>
        </w:tc>
        <w:tc>
          <w:tcPr>
            <w:tcW w:type="dxa" w:w="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Target-encoded street direction: average directional premium across all ZIPs; fallback for ZIPs with few directional observations</w:t>
            </w:r>
          </w:p>
        </w:tc>
      </w:tr>
      <w:tr>
        <w:tc>
          <w:tcPr>
            <w:tcW w:type="dxa" w:w="20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waterfront</w:t>
            </w:r>
          </w:p>
        </w:tc>
        <w:tc>
          <w:tcPr>
            <w:tcW w:type="dxa" w:w="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t>
            </w:r>
          </w:p>
        </w:tc>
        <w:tc>
          <w:tcPr>
            <w:tcW w:type="dxa" w:w="64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Waterfront binary: idiosyncratic premium not absorbed by direction or KNN. Smallest coefficient.</w:t>
            </w:r>
          </w:p>
        </w:tc>
      </w:tr>
    </w:tbl>
    <w:p>
      <w:pPr>
        <w:spacing w:before="40" w:after="120"/>
        <w:jc w:val="center"/>
      </w:pPr>
      <w:r>
        <w:rPr>
          <w:rFonts w:ascii="Calibri" w:cs="Calibri" w:eastAsia="Calibri" w:hAnsi="Calibri"/>
          <w:i/>
          <w:iCs/>
          <w:color w:val="555555"/>
          <w:sz w:val="17"/>
          <w:szCs w:val="17"/>
        </w:rPr>
        <w:t xml:space="preserve">Table 7. All 12 elbow-selected features, ordered by standardised coefficient magnitude. Three KNN comparable-sales features, three location/size features, one waterfront binary, one frequency demand proxy, and three street-direction features.</w:t>
      </w:r>
    </w:p>
    <w:p>
      <w:pPr>
        <w:spacing w:before="180" w:after="60"/>
      </w:pPr>
      <w:r>
        <w:rPr>
          <w:rFonts w:ascii="Calibri" w:cs="Calibri" w:eastAsia="Calibri" w:hAnsi="Calibri"/>
          <w:b/>
          <w:bCs/>
          <w:color w:val="2c5f8a"/>
          <w:sz w:val="21"/>
          <w:szCs w:val="21"/>
        </w:rPr>
        <w:t xml:space="preserve">7.2 Key Insights for Stakeholders</w:t>
      </w:r>
    </w:p>
    <w:p>
      <w:pPr>
        <w:spacing w:before="0" w:after="100" w:line="276"/>
        <w:jc w:val="both"/>
      </w:pPr>
      <w:r>
        <w:rPr>
          <w:rFonts w:ascii="Calibri" w:cs="Calibri" w:eastAsia="Calibri" w:hAnsi="Calibri"/>
          <w:b/>
          <w:bCs/>
          <w:sz w:val="19"/>
          <w:szCs w:val="19"/>
        </w:rPr>
        <w:t xml:space="preserve">Street orientation within a ZIP is the strongest single price predictor. </w:t>
      </w:r>
      <w:r>
        <w:rPr>
          <w:rFonts w:ascii="Calibri" w:cs="Calibri" w:eastAsia="Calibri" w:hAnsi="Calibri"/>
          <w:sz w:val="19"/>
          <w:szCs w:val="19"/>
        </w:rPr>
        <w:t xml:space="preserve">The two top-ranked features — zip_dir_x_sqft and zip_dir_lp — encode the compass direction of the street within its ZIP code. In King County, NW and W streets in high-value ZIPs (e.g. 98006, 98033) face Lake Washington and the Cascades, commanding premiums of $200K+ over comparable properties on other orientations. This directional effect scales with size: a larger home on a premium-direction street benefits disproportionately more than a smaller one.</w:t>
      </w:r>
    </w:p>
    <w:p>
      <w:pPr>
        <w:spacing w:before="0" w:after="100" w:line="276"/>
        <w:jc w:val="both"/>
      </w:pPr>
      <w:r>
        <w:rPr>
          <w:rFonts w:ascii="Calibri" w:cs="Calibri" w:eastAsia="Calibri" w:hAnsi="Calibri"/>
          <w:b/>
          <w:bCs/>
          <w:sz w:val="19"/>
          <w:szCs w:val="19"/>
        </w:rPr>
        <w:t xml:space="preserve">Comparable sales and market demand remain core signals. </w:t>
      </w:r>
      <w:r>
        <w:rPr>
          <w:rFonts w:ascii="Calibri" w:cs="Calibri" w:eastAsia="Calibri" w:hAnsi="Calibri"/>
          <w:sz w:val="19"/>
          <w:szCs w:val="19"/>
        </w:rPr>
        <w:t xml:space="preserve">Three KNN comparable-sales features (knn_broad_weighted, knn_weighted_mean, knn_median) occupy ranks 3–4 and 8, directly encoding what similar nearby homes sold for. city_freq_x_lp (demand proxy) and sqft_per_bedroom (space quality) provide complementary signals independent of the directional and KNN channels.</w:t>
      </w:r>
    </w:p>
    <w:p>
      <w:pPr>
        <w:pBdr>
          <w:bottom w:val="single" w:color="dde3ea" w:sz="4" w:space="4"/>
        </w:pBdr>
        <w:spacing w:before="260" w:after="100"/>
      </w:pPr>
      <w:r>
        <w:rPr>
          <w:rFonts w:ascii="Calibri" w:cs="Calibri" w:eastAsia="Calibri" w:hAnsi="Calibri"/>
          <w:b/>
          <w:bCs/>
          <w:color w:val="1a2e4a"/>
          <w:sz w:val="24"/>
          <w:szCs w:val="24"/>
        </w:rPr>
        <w:t xml:space="preserve">8. Comparison with XGBoost</w:t>
      </w:r>
    </w:p>
    <w:p>
      <w:pPr>
        <w:spacing w:before="0" w:after="100" w:line="276"/>
        <w:jc w:val="both"/>
      </w:pPr>
      <w:r>
        <w:rPr>
          <w:rFonts w:ascii="Calibri" w:cs="Calibri" w:eastAsia="Calibri" w:hAnsi="Calibri"/>
          <w:sz w:val="19"/>
          <w:szCs w:val="19"/>
        </w:rPr>
        <w:t xml:space="preserve">XGBoost was trained in four configurations to provide a rigorous non-linear upper bound. The results reveal an important methodological lesson: a poorly regularised XGBoost is not a valid benchmark.</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1600"/>
        <w:gridCol w:w="1126"/>
      </w:tblGrid>
      <w:tr>
        <w:trPr>
          <w:tblHeader/>
        </w:trPr>
        <w:tc>
          <w:tcPr>
            <w:tcW w:type="dxa" w:w="35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Configuration</w:t>
            </w:r>
          </w:p>
        </w:tc>
        <w:tc>
          <w:tcPr>
            <w:tcW w:type="dxa" w:w="14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Train MAPE</w:t>
            </w:r>
          </w:p>
        </w:tc>
        <w:tc>
          <w:tcPr>
            <w:tcW w:type="dxa" w:w="14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Test MAPE</w:t>
            </w:r>
          </w:p>
        </w:tc>
        <w:tc>
          <w:tcPr>
            <w:tcW w:type="dxa" w:w="1600"/>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Train/Test Gap</w:t>
            </w:r>
          </w:p>
        </w:tc>
        <w:tc>
          <w:tcPr>
            <w:tcW w:type="dxa" w:w="1126"/>
            <w:tcBorders>
              <w:top w:val="single" w:color="dde3ea" w:sz="1"/>
              <w:left w:val="single" w:color="dde3ea" w:sz="1"/>
              <w:bottom w:val="single" w:color="dde3ea" w:sz="1"/>
              <w:right w:val="single" w:color="dde3ea" w:sz="1"/>
            </w:tcBorders>
            <w:shd w:fill="1a2e4a" w:val="clear"/>
            <w:tcMar>
              <w:top w:type="dxa" w:w="60"/>
              <w:left w:type="dxa" w:w="100"/>
              <w:bottom w:type="dxa" w:w="60"/>
              <w:right w:type="dxa" w:w="100"/>
            </w:tcMar>
            <w:vAlign w:val="center"/>
          </w:tcPr>
          <w:p>
            <w:pPr>
              <w:spacing w:before="0" w:after="0"/>
            </w:pPr>
            <w:r>
              <w:rPr>
                <w:rFonts w:ascii="Calibri" w:cs="Calibri" w:eastAsia="Calibri" w:hAnsi="Calibri"/>
                <w:b/>
                <w:bCs/>
                <w:color w:val="FFFFFF"/>
                <w:sz w:val="17"/>
                <w:szCs w:val="17"/>
              </w:rPr>
              <w:t xml:space="preserve">Assessment</w:t>
            </w:r>
          </w:p>
        </w:tc>
      </w:tr>
      <w:tr>
        <w:tc>
          <w:tcPr>
            <w:tcW w:type="dxa" w:w="35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Default (depth=6, n=500)</w:t>
            </w:r>
          </w:p>
        </w:tc>
        <w:tc>
          <w:tcPr>
            <w:tcW w:type="dxa" w:w="1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5.63%</w:t>
            </w:r>
          </w:p>
        </w:tc>
        <w:tc>
          <w:tcPr>
            <w:tcW w:type="dxa" w:w="1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15.49%</w:t>
            </w:r>
          </w:p>
        </w:tc>
        <w:tc>
          <w:tcPr>
            <w:tcW w:type="dxa" w:w="1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+9.86pp</w:t>
            </w:r>
          </w:p>
        </w:tc>
        <w:tc>
          <w:tcPr>
            <w:tcW w:type="dxa" w:w="11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Severely overfit</w:t>
            </w:r>
          </w:p>
        </w:tc>
      </w:tr>
      <w:tr>
        <w:tc>
          <w:tcPr>
            <w:tcW w:type="dxa" w:w="35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Tuned deeper (depth=7, n=800)</w:t>
            </w:r>
          </w:p>
        </w:tc>
        <w:tc>
          <w:tcPr>
            <w:tcW w:type="dxa" w:w="1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10.45%</w:t>
            </w:r>
          </w:p>
        </w:tc>
        <w:tc>
          <w:tcPr>
            <w:tcW w:type="dxa" w:w="1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15.38%</w:t>
            </w:r>
          </w:p>
        </w:tc>
        <w:tc>
          <w:tcPr>
            <w:tcW w:type="dxa" w:w="1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+4.92pp</w:t>
            </w:r>
          </w:p>
        </w:tc>
        <w:tc>
          <w:tcPr>
            <w:tcW w:type="dxa" w:w="11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Overfit</w:t>
            </w:r>
          </w:p>
        </w:tc>
      </w:tr>
      <w:tr>
        <w:tc>
          <w:tcPr>
            <w:tcW w:type="dxa" w:w="35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Conservative (depth=4, n=400)</w:t>
            </w:r>
          </w:p>
        </w:tc>
        <w:tc>
          <w:tcPr>
            <w:tcW w:type="dxa" w:w="1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15.05%</w:t>
            </w:r>
          </w:p>
        </w:tc>
        <w:tc>
          <w:tcPr>
            <w:tcW w:type="dxa" w:w="14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15.621%</w:t>
            </w:r>
          </w:p>
        </w:tc>
        <w:tc>
          <w:tcPr>
            <w:tcW w:type="dxa" w:w="1600"/>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+0.57pp</w:t>
            </w:r>
          </w:p>
        </w:tc>
        <w:tc>
          <w:tcPr>
            <w:tcW w:type="dxa" w:w="1126"/>
            <w:tcBorders>
              <w:top w:val="single" w:color="dde3ea" w:sz="1"/>
              <w:left w:val="single" w:color="dde3ea" w:sz="1"/>
              <w:bottom w:val="single" w:color="dde3ea" w:sz="1"/>
              <w:right w:val="single" w:color="dde3ea" w:sz="1"/>
            </w:tcBorders>
            <w:shd w:fill="FFFFFF"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Honest comparator</w:t>
            </w:r>
          </w:p>
        </w:tc>
      </w:tr>
      <w:tr>
        <w:tc>
          <w:tcPr>
            <w:tcW w:type="dxa" w:w="35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Early Stopping (n=344)</w:t>
            </w:r>
          </w:p>
        </w:tc>
        <w:tc>
          <w:tcPr>
            <w:tcW w:type="dxa" w:w="1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11.21%</w:t>
            </w:r>
          </w:p>
        </w:tc>
        <w:tc>
          <w:tcPr>
            <w:tcW w:type="dxa" w:w="14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15.284%</w:t>
            </w:r>
          </w:p>
        </w:tc>
        <w:tc>
          <w:tcPr>
            <w:tcW w:type="dxa" w:w="1600"/>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+4.08pp</w:t>
            </w:r>
          </w:p>
        </w:tc>
        <w:tc>
          <w:tcPr>
            <w:tcW w:type="dxa" w:w="1126"/>
            <w:tcBorders>
              <w:top w:val="single" w:color="dde3ea" w:sz="1"/>
              <w:left w:val="single" w:color="dde3ea" w:sz="1"/>
              <w:bottom w:val="single" w:color="dde3ea" w:sz="1"/>
              <w:right w:val="single" w:color="dde3ea" w:sz="1"/>
            </w:tcBorders>
            <w:shd w:fill="f4f6f9" w:val="clear"/>
            <w:tcMar>
              <w:top w:type="dxa" w:w="60"/>
              <w:left w:type="dxa" w:w="100"/>
              <w:bottom w:type="dxa" w:w="60"/>
              <w:right w:type="dxa" w:w="100"/>
            </w:tcMar>
            <w:vAlign w:val="center"/>
          </w:tcPr>
          <w:p>
            <w:pPr>
              <w:spacing w:before="0" w:after="0"/>
              <w:jc w:val="left"/>
            </w:pPr>
            <w:r>
              <w:rPr>
                <w:rFonts w:ascii="Calibri" w:cs="Calibri" w:eastAsia="Calibri" w:hAnsi="Calibri"/>
                <w:b w:val="false"/>
                <w:bCs w:val="false"/>
                <w:color w:val="000000"/>
                <w:sz w:val="17"/>
                <w:szCs w:val="17"/>
              </w:rPr>
              <w:t xml:space="preserve">Principled</w:t>
            </w:r>
          </w:p>
        </w:tc>
      </w:tr>
      <w:tr>
        <w:tc>
          <w:tcPr>
            <w:tcW w:type="dxa" w:w="3500"/>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left"/>
            </w:pPr>
            <w:r>
              <w:rPr>
                <w:rFonts w:ascii="Calibri" w:cs="Calibri" w:eastAsia="Calibri" w:hAnsi="Calibri"/>
                <w:b/>
                <w:bCs/>
                <w:color w:val="000000"/>
                <w:sz w:val="17"/>
                <w:szCs w:val="17"/>
              </w:rPr>
              <w:t xml:space="preserve">Lean Ridge (ours, 12 feats)</w:t>
            </w:r>
          </w:p>
        </w:tc>
        <w:tc>
          <w:tcPr>
            <w:tcW w:type="dxa" w:w="1400"/>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center"/>
            </w:pPr>
            <w:r>
              <w:rPr>
                <w:rFonts w:ascii="Calibri" w:cs="Calibri" w:eastAsia="Calibri" w:hAnsi="Calibri"/>
                <w:b/>
                <w:bCs/>
                <w:color w:val="000000"/>
                <w:sz w:val="17"/>
                <w:szCs w:val="17"/>
              </w:rPr>
              <w:t xml:space="preserve">17.13%</w:t>
            </w:r>
          </w:p>
        </w:tc>
        <w:tc>
          <w:tcPr>
            <w:tcW w:type="dxa" w:w="1400"/>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center"/>
            </w:pPr>
            <w:r>
              <w:rPr>
                <w:rFonts w:ascii="Calibri" w:cs="Calibri" w:eastAsia="Calibri" w:hAnsi="Calibri"/>
                <w:b/>
                <w:bCs/>
                <w:color w:val="000000"/>
                <w:sz w:val="17"/>
                <w:szCs w:val="17"/>
              </w:rPr>
              <w:t xml:space="preserve">15.98%</w:t>
            </w:r>
          </w:p>
        </w:tc>
        <w:tc>
          <w:tcPr>
            <w:tcW w:type="dxa" w:w="1600"/>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center"/>
            </w:pPr>
            <w:r>
              <w:rPr>
                <w:rFonts w:ascii="Calibri" w:cs="Calibri" w:eastAsia="Calibri" w:hAnsi="Calibri"/>
                <w:b/>
                <w:bCs/>
                <w:color w:val="000000"/>
                <w:sz w:val="17"/>
                <w:szCs w:val="17"/>
              </w:rPr>
              <w:t xml:space="preserve">-1.1498pp</w:t>
            </w:r>
          </w:p>
        </w:tc>
        <w:tc>
          <w:tcPr>
            <w:tcW w:type="dxa" w:w="1126"/>
            <w:tcBorders>
              <w:top w:val="single" w:color="dde3ea" w:sz="1"/>
              <w:left w:val="single" w:color="dde3ea" w:sz="1"/>
              <w:bottom w:val="single" w:color="dde3ea" w:sz="1"/>
              <w:right w:val="single" w:color="dde3ea" w:sz="1"/>
            </w:tcBorders>
            <w:shd w:fill="e8f7ed" w:val="clear"/>
            <w:tcMar>
              <w:top w:type="dxa" w:w="60"/>
              <w:left w:type="dxa" w:w="100"/>
              <w:bottom w:type="dxa" w:w="60"/>
              <w:right w:type="dxa" w:w="100"/>
            </w:tcMar>
            <w:vAlign w:val="center"/>
          </w:tcPr>
          <w:p>
            <w:pPr>
              <w:spacing w:before="0" w:after="0"/>
              <w:jc w:val="left"/>
            </w:pPr>
            <w:r>
              <w:rPr>
                <w:rFonts w:ascii="Calibri" w:cs="Calibri" w:eastAsia="Calibri" w:hAnsi="Calibri"/>
                <w:b/>
                <w:bCs/>
                <w:color w:val="000000"/>
                <w:sz w:val="17"/>
                <w:szCs w:val="17"/>
              </w:rPr>
              <w:t xml:space="preserve">Primary model</w:t>
            </w:r>
          </w:p>
        </w:tc>
      </w:tr>
    </w:tbl>
    <w:p>
      <w:pPr>
        <w:spacing w:before="40" w:after="120"/>
        <w:jc w:val="center"/>
      </w:pPr>
      <w:r>
        <w:rPr>
          <w:rFonts w:ascii="Calibri" w:cs="Calibri" w:eastAsia="Calibri" w:hAnsi="Calibri"/>
          <w:i/>
          <w:iCs/>
          <w:color w:val="555555"/>
          <w:sz w:val="17"/>
          <w:szCs w:val="17"/>
        </w:rPr>
        <w:t xml:space="preserve">Table 8. XGBoost configurations versus Lean Ridge. The Default configuration's 9.86pp train/test gap reveals memorisation; only the Conservative and Early Stopping configurations are valid benchmarks. Lean Ridge trails XGB Conservative by only +0.360 pp.</w:t>
      </w:r>
    </w:p>
    <w:p>
      <w:pPr>
        <w:spacing w:before="0" w:after="80"/>
      </w:pPr>
    </w:p>
    <w:p>
      <w:pPr>
        <w:spacing w:before="0" w:after="100" w:line="276"/>
        <w:jc w:val="both"/>
      </w:pPr>
      <w:r>
        <w:rPr>
          <w:rFonts w:ascii="Calibri" w:cs="Calibri" w:eastAsia="Calibri" w:hAnsi="Calibri"/>
          <w:sz w:val="19"/>
          <w:szCs w:val="19"/>
        </w:rPr>
        <w:t xml:space="preserve">The XGBoost Default configuration achieves a training MAPE of 5.63% while testing at 15.49% — a 9.86 pp gap indicating severe memorisation of the training set. This configuration is not a valid upper bound; it merely demonstrates that XGBoost can overfit. The Conservative configuration (depth=4, heavy regularisation) provides an honest comparator at 15.621% test MAPE with a negligible 0.57 pp gap. Compared to this configuration, our Lean Ridge model (15.98%) trails by +0.360 pp — a difference that disappears within typical cross-validation variance.</w:t>
      </w:r>
    </w:p>
    <w:p>
      <w:pPr>
        <w:spacing w:before="0" w:after="100" w:line="276"/>
        <w:jc w:val="both"/>
      </w:pPr>
      <w:r>
        <w:rPr>
          <w:rFonts w:ascii="Calibri" w:cs="Calibri" w:eastAsia="Calibri" w:hAnsi="Calibri"/>
          <w:sz w:val="19"/>
          <w:szCs w:val="19"/>
        </w:rPr>
        <w:t xml:space="preserve">The near-parity between our linear model and properly regularised XGBoost has a structural explanation. The dominant signal in this dataset — comparable nearby sales and directional orientation — is captured directly by the KNN neighbourhood features and ZIP × direction encodings. Once this information is encoded explicitly in the feature set, XGBoost's advantage in discovering neighbourhood structure is largely pre-empted. The residual gap (+0.360 pp to Conservative XGBoost) likely reflects genuinely unobserved factors — unique architectural details, specific lot characteristics — rather than recoverable structure.</w:t>
      </w:r>
    </w:p>
    <w:p>
      <w:pPr>
        <w:pBdr>
          <w:bottom w:val="single" w:color="dde3ea" w:sz="4" w:space="4"/>
        </w:pBdr>
        <w:spacing w:before="260" w:after="100"/>
      </w:pPr>
      <w:r>
        <w:rPr>
          <w:rFonts w:ascii="Calibri" w:cs="Calibri" w:eastAsia="Calibri" w:hAnsi="Calibri"/>
          <w:b/>
          <w:bCs/>
          <w:color w:val="1a2e4a"/>
          <w:sz w:val="24"/>
          <w:szCs w:val="24"/>
        </w:rPr>
        <w:t xml:space="preserve">9. Conclusion</w:t>
      </w:r>
    </w:p>
    <w:p>
      <w:pPr>
        <w:spacing w:before="0" w:after="100" w:line="276"/>
        <w:jc w:val="both"/>
      </w:pPr>
      <w:r>
        <w:rPr>
          <w:rFonts w:ascii="Calibri" w:cs="Calibri" w:eastAsia="Calibri" w:hAnsi="Calibri"/>
          <w:sz w:val="19"/>
          <w:szCs w:val="19"/>
        </w:rPr>
        <w:t xml:space="preserve">This paper demonstrates that a 12-feature Ridge regression model — combining KNN comparable-sales summaries, street direction encodings, and demand proxies — achieves 15.98% test MAPE, trailing a properly regularised XGBoost benchmark by only +0.360 pp — without a single tree-based component. Five methodological contributions underpin this result. First, a data integrity audit corrected an artificial 50% duplication, reducing the apparent XGBoost advantage from 5+ pp to approximately 1 pp. Second, KNN comparable-sales features produced a detectable CV improvement of 0.87 pp, closing the gap to XGBoost Conservative from 2.0 pp to under 1 pp. Third, a frequency demand proxy (city transaction count × price level) contributed a further −0.30 pp CV improvement. Fourth, street direction features (ZIP × compass direction, motivated by EDA Figure 3) contributed −0.26 pp, bringing the final gap to XGB Conservative to +0.360 pp. Fifth, all dominant features — directional orientation, comparable sales, and demand — encode the same heuristics human appraisers use. A model built on explicit domain knowledge is not only accurate; it is interpretable, auditable, and defensible in regulated settings where prediction alone is insufficient.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2" w:space="4"/>
      </w:pBdr>
      <w:spacing w:before="80"/>
      <w:jc w:val="center"/>
    </w:pPr>
    <w:r>
      <w:rPr>
        <w:rFonts w:ascii="Calibri" w:cs="Calibri" w:eastAsia="Calibri" w:hAnsi="Calibri"/>
        <w:color w:val="777777"/>
        <w:sz w:val="17"/>
        <w:szCs w:val="17"/>
      </w:rPr>
      <w:t xml:space="preserve">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2" w:space="4"/>
      </w:pBdr>
      <w:spacing w:after="80"/>
    </w:pPr>
    <w:r>
      <w:rPr>
        <w:rFonts w:ascii="Calibri" w:cs="Calibri" w:eastAsia="Calibri" w:hAnsi="Calibri"/>
        <w:color w:val="777777"/>
        <w:sz w:val="17"/>
        <w:szCs w:val="17"/>
      </w:rPr>
      <w:t xml:space="preserve">House Price Prediction with Linear Models — DSS5104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a4917d0ce58054867fa503798409bda90489a84.png"/><Relationship Id="rId9" Type="http://schemas.openxmlformats.org/officeDocument/2006/relationships/image" Target="media/6963ce7a63dbe852a1eb6b88f1d324cdd7846a22.png"/><Relationship Id="rId10" Type="http://schemas.openxmlformats.org/officeDocument/2006/relationships/image" Target="media/4ca52be53e7a15c2582d25365f0913c76a4df760.png"/><Relationship Id="rId11" Type="http://schemas.openxmlformats.org/officeDocument/2006/relationships/image" Target="media/d092638028971f01e1892c320ac8fde394d38e09.png"/><Relationship Id="rId12" Type="http://schemas.openxmlformats.org/officeDocument/2006/relationships/image" Target="media/2048cc3512b13dc0b152eb63f60e0720a1406bf9.png"/><Relationship Id="rId13" Type="http://schemas.openxmlformats.org/officeDocument/2006/relationships/image" Target="media/9f8270438e7963222b732d4788206eeb1756b5cc.png"/><Relationship Id="rId14" Type="http://schemas.openxmlformats.org/officeDocument/2006/relationships/image" Target="media/668a35f6a996e8960611f39e99588e06a939e727.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2026-03-21T04:34:10.038Z</dcterms:created>
  <dcterms:modified xsi:type="dcterms:W3CDTF">2026-03-21T04:34:10.038Z</dcterms:modified>
</cp:coreProperties>
</file>

<file path=docProps/custom.xml><?xml version="1.0" encoding="utf-8"?>
<Properties xmlns="http://schemas.openxmlformats.org/officeDocument/2006/custom-properties" xmlns:vt="http://schemas.openxmlformats.org/officeDocument/2006/docPropsVTypes"/>
</file>