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2B3A8F"/>
          <w:sz w:val="56"/>
        </w:rPr>
        <w:t>AdminPilot</w:t>
      </w:r>
    </w:p>
    <w:p>
      <w:pPr>
        <w:spacing w:before="0" w:after="400"/>
      </w:pPr>
      <w:r>
        <w:rPr>
          <w:rFonts w:ascii="Calibri" w:hAnsi="Calibri"/>
          <w:color w:val="5C6178"/>
          <w:sz w:val="28"/>
        </w:rPr>
        <w:t>Full System Architecture, Technical Implementation &amp; Operational Guide (Phases 1 – 9)</w:t>
      </w:r>
    </w:p>
    <w:p>
      <w:pPr>
        <w:spacing w:after="200"/>
      </w:pPr>
    </w:p>
    <w:p>
      <w:pPr>
        <w:keepNext/>
        <w:spacing w:before="360" w:after="120"/>
      </w:pPr>
      <w:r>
        <w:rPr>
          <w:rFonts w:ascii="Calibri" w:hAnsi="Calibri"/>
          <w:b/>
          <w:color w:val="2B3A8F"/>
          <w:sz w:val="36"/>
        </w:rPr>
        <w:t>1. Executive Summary &amp; Core Architectural Foundations</w:t>
      </w:r>
    </w:p>
    <w:p>
      <w:pPr>
        <w:spacing w:before="0" w:after="120" w:line="276" w:lineRule="auto"/>
      </w:pPr>
      <w:r>
        <w:t>AdminPilot is a specialized multi-tenant School Information &amp; Financial Engine engineered for primary and secondary educational institutions. Built on Python 3.12, Django 5.x, and Microsoft SQL Server (via mssql-django), the web application strictly enforces database-level tenant isolation, server-side audit trails, permission-gated workflows, and timezone-aware financial accounting.</w:t>
      </w:r>
    </w:p>
    <w:p>
      <w:pPr>
        <w:keepNext/>
        <w:spacing w:before="240" w:after="80"/>
      </w:pPr>
      <w:r>
        <w:rPr>
          <w:rFonts w:ascii="Calibri" w:hAnsi="Calibri"/>
          <w:b/>
          <w:color w:val="1E2A69"/>
          <w:sz w:val="28"/>
        </w:rPr>
        <w:t>Non-Negotiable Architecture Constraints</w:t>
      </w:r>
    </w:p>
    <w:p>
      <w:pPr>
        <w:pStyle w:val="ListBullet"/>
        <w:spacing w:before="0" w:after="60" w:line="276" w:lineRule="auto"/>
      </w:pPr>
      <w:r>
        <w:rPr>
          <w:b/>
        </w:rPr>
        <w:t>1. Database-Level Isolation:</w:t>
      </w:r>
      <w:r>
        <w:t xml:space="preserve"> Multi-Tenant Isolation is enforced at the SQL Server database layer using Row-Level Security (RLS) policies and SESSION_CONTEXT binding. No view can accidentally bypass tenant boundaries.</w:t>
      </w:r>
    </w:p>
    <w:p>
      <w:pPr>
        <w:pStyle w:val="ListBullet"/>
        <w:spacing w:before="0" w:after="60" w:line="276" w:lineRule="auto"/>
      </w:pPr>
      <w:r>
        <w:rPr>
          <w:b/>
        </w:rPr>
        <w:t>2. Server-Side Audit Trail:</w:t>
      </w:r>
      <w:r>
        <w:t xml:space="preserve"> Every sensitive mutation (creation, modification, deletion, fee adjustment, payment, reversal, user invite, data export) writes an immutable AuditLog entry in the same atomic transaction.</w:t>
      </w:r>
    </w:p>
    <w:p>
      <w:pPr>
        <w:pStyle w:val="ListBullet"/>
        <w:spacing w:before="0" w:after="60" w:line="276" w:lineRule="auto"/>
      </w:pPr>
      <w:r>
        <w:rPr>
          <w:b/>
        </w:rPr>
        <w:t>3. Concurrency-Safe Sequence Counters:</w:t>
      </w:r>
      <w:r>
        <w:t xml:space="preserve"> Admission numbers (SCH-YYYY-XXXXXX) and Receipt numbers (SCH-YYYY-XXXXXX) are generated using a row-locked sequence counter table (institution_number_sequences), guaranteeing zero collisions under concurrency.</w:t>
      </w:r>
    </w:p>
    <w:p>
      <w:pPr>
        <w:pStyle w:val="ListBullet"/>
        <w:spacing w:before="0" w:after="60" w:line="276" w:lineRule="auto"/>
      </w:pPr>
      <w:r>
        <w:rPr>
          <w:b/>
        </w:rPr>
        <w:t>4. Vanilla Django View Layer:</w:t>
      </w:r>
      <w:r>
        <w:t xml:space="preserve"> Standard Django views render server-side HTML templates with pure Vanilla CSS (static/css/tokens.css &amp; app.css). SearchSuggestView (/search/suggest/) is the only JsonResponse endpoint in the entire application.</w:t>
      </w:r>
    </w:p>
    <w:p>
      <w:pPr>
        <w:pStyle w:val="ListBullet"/>
        <w:spacing w:before="0" w:after="60" w:line="276" w:lineRule="auto"/>
      </w:pPr>
      <w:r>
        <w:rPr>
          <w:b/>
        </w:rPr>
        <w:t>5. Application-Layer Fee Locking:</w:t>
      </w:r>
      <w:r>
        <w:t xml:space="preserve"> Fee structures lock automatically upon the recording of their first payment. Post-lock corrections occur exclusively via individual, audit-logged student fee adjustments with mandatory reasons.</w:t>
      </w:r>
    </w:p>
    <w:p>
      <w:pPr>
        <w:keepNext/>
        <w:spacing w:before="360" w:after="120"/>
      </w:pPr>
      <w:r>
        <w:rPr>
          <w:rFonts w:ascii="Calibri" w:hAnsi="Calibri"/>
          <w:b/>
          <w:color w:val="2B3A8F"/>
          <w:sz w:val="36"/>
        </w:rPr>
        <w:t>2. Phase 1 — Database Foundation &amp; Tenant Isolation</w:t>
      </w:r>
    </w:p>
    <w:p>
      <w:pPr>
        <w:spacing w:before="0" w:after="120" w:line="276" w:lineRule="auto"/>
      </w:pPr>
      <w:r>
        <w:t>Phase 1 established the database schema and security backbone. Every entity except PlatformUser and Institution inherits from TenantScopedModel, guaranteeing that institution_id is present and enforced on every row.</w:t>
      </w:r>
    </w:p>
    <w:p>
      <w:pPr>
        <w:keepNext/>
        <w:spacing w:before="240" w:after="80"/>
      </w:pPr>
      <w:r>
        <w:rPr>
          <w:rFonts w:ascii="Calibri" w:hAnsi="Calibri"/>
          <w:b/>
          <w:color w:val="1E2A69"/>
          <w:sz w:val="28"/>
        </w:rPr>
        <w:t>SQL Server Row-Level Security (RLS) Mechanics</w:t>
      </w:r>
    </w:p>
    <w:p>
      <w:pPr>
        <w:spacing w:before="0" w:after="120" w:line="276" w:lineRule="auto"/>
      </w:pPr>
      <w:r>
        <w:t>Tenant context is stamped on SQL Server database connections via SESSION_CONTEXT(N'institution_id', &lt;id&gt;). In core/migrations/0002_tenant_rls.py, raw SQL migrations create Security Policies and Predicate Functions for every tenant-scoped table:</w:t>
      </w:r>
    </w:p>
    <w:p>
      <w:pPr>
        <w:pStyle w:val="ListBullet"/>
        <w:spacing w:before="0" w:after="60" w:line="276" w:lineRule="auto"/>
      </w:pPr>
      <w:r>
        <w:rPr>
          <w:b/>
        </w:rPr>
        <w:t>Filter Predicate:</w:t>
      </w:r>
      <w:r>
        <w:t>Filters SELECT queries so callers only see rows belonging to their institution_id.</w:t>
      </w:r>
    </w:p>
    <w:p>
      <w:pPr>
        <w:pStyle w:val="ListBullet"/>
        <w:spacing w:before="0" w:after="60" w:line="276" w:lineRule="auto"/>
      </w:pPr>
      <w:r>
        <w:rPr>
          <w:b/>
        </w:rPr>
        <w:t>Block Predicate:</w:t>
      </w:r>
      <w:r>
        <w:t>Rejects INSERT, UPDATE, and DELETE operations if the target row's institution_id does not match the active SESSION_CONTEXT.</w:t>
      </w:r>
    </w:p>
    <w:p>
      <w:pPr>
        <w:keepNext/>
        <w:spacing w:before="240" w:after="80"/>
      </w:pPr>
      <w:r>
        <w:rPr>
          <w:rFonts w:ascii="Calibri" w:hAnsi="Calibri"/>
          <w:b/>
          <w:color w:val="1E2A69"/>
          <w:sz w:val="28"/>
        </w:rPr>
        <w:t>6-Item Tenant Isolation Verification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B3A8F"/>
          </w:tcPr>
          <w:p>
            <w:r>
              <w:rPr>
                <w:b/>
                <w:color w:val="FFFFFF"/>
              </w:rPr>
              <w:t>Checklist Item</w:t>
            </w:r>
          </w:p>
        </w:tc>
        <w:tc>
          <w:tcPr>
            <w:tcW w:type="dxa" w:w="4680"/>
            <w:shd w:val="clear" w:color="auto" w:fill="2B3A8F"/>
          </w:tcPr>
          <w:p>
            <w:r>
              <w:rPr>
                <w:b/>
                <w:color w:val="FFFFFF"/>
              </w:rPr>
              <w:t>Verification Method &amp; Enforcement</w:t>
            </w:r>
          </w:p>
        </w:tc>
      </w:tr>
      <w:tr>
        <w:tc>
          <w:tcPr>
            <w:tcW w:type="dxa" w:w="4680"/>
            <w:shd w:val="clear" w:color="auto" w:fill="F5F6FA"/>
          </w:tcPr>
          <w:p>
            <w:r>
              <w:t>1. Cross-Tenant Read Isolation</w:t>
            </w:r>
          </w:p>
        </w:tc>
        <w:tc>
          <w:tcPr>
            <w:tcW w:type="dxa" w:w="4680"/>
            <w:shd w:val="clear" w:color="auto" w:fill="F5F6FA"/>
          </w:tcPr>
          <w:p>
            <w:r>
              <w:t>Querying any table as School A returns 0 records from School B.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t>2. Insert Scope Enforcement</w:t>
            </w:r>
          </w:p>
        </w:tc>
        <w:tc>
          <w:tcPr>
            <w:tcW w:type="dxa" w:w="4680"/>
            <w:shd w:val="clear" w:color="auto" w:fill="FFFFFF"/>
          </w:tcPr>
          <w:p>
            <w:r>
              <w:t>Mutating data inside School A context strictly stamps School A's institution_id.</w:t>
            </w:r>
          </w:p>
        </w:tc>
      </w:tr>
      <w:tr>
        <w:tc>
          <w:tcPr>
            <w:tcW w:type="dxa" w:w="4680"/>
            <w:shd w:val="clear" w:color="auto" w:fill="F5F6FA"/>
          </w:tcPr>
          <w:p>
            <w:r>
              <w:t>3. Audit Log Isolation</w:t>
            </w:r>
          </w:p>
        </w:tc>
        <w:tc>
          <w:tcPr>
            <w:tcW w:type="dxa" w:w="4680"/>
            <w:shd w:val="clear" w:color="auto" w:fill="F5F6FA"/>
          </w:tcPr>
          <w:p>
            <w:r>
              <w:t>School A Owner's audit query returns zero log entries from School B.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t>4. Bursar Field Restrictions</w:t>
            </w:r>
          </w:p>
        </w:tc>
        <w:tc>
          <w:tcPr>
            <w:tcW w:type="dxa" w:w="4680"/>
            <w:shd w:val="clear" w:color="auto" w:fill="FFFFFF"/>
          </w:tcPr>
          <w:p>
            <w:r>
              <w:t>Bursar role querysets and forms strip restricted fields across multi-tenant contexts.</w:t>
            </w:r>
          </w:p>
        </w:tc>
      </w:tr>
      <w:tr>
        <w:tc>
          <w:tcPr>
            <w:tcW w:type="dxa" w:w="4680"/>
            <w:shd w:val="clear" w:color="auto" w:fill="F5F6FA"/>
          </w:tcPr>
          <w:p>
            <w:r>
              <w:t>5. Super Admin Exemption</w:t>
            </w:r>
          </w:p>
        </w:tc>
        <w:tc>
          <w:tcPr>
            <w:tcW w:type="dxa" w:w="4680"/>
            <w:shd w:val="clear" w:color="auto" w:fill="F5F6FA"/>
          </w:tcPr>
          <w:p>
            <w:r>
              <w:t>Super Admin code path (/platform/...) executes zero queries against tenant tables.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t>6. Independent Counter State</w:t>
            </w:r>
          </w:p>
        </w:tc>
        <w:tc>
          <w:tcPr>
            <w:tcW w:type="dxa" w:w="4680"/>
            <w:shd w:val="clear" w:color="auto" w:fill="FFFFFF"/>
          </w:tcPr>
          <w:p>
            <w:r>
              <w:t>Sequence counters (ADMISSION &amp; RECEIPT) for School A increment independently of School B.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Calibri" w:hAnsi="Calibri"/>
          <w:b/>
          <w:color w:val="2B3A8F"/>
          <w:sz w:val="36"/>
        </w:rPr>
        <w:t>3. Phase 2 — Authentication, Self-Serve Registration &amp; Platform Admin</w:t>
      </w:r>
    </w:p>
    <w:p>
      <w:pPr>
        <w:spacing w:before="0" w:after="120" w:line="276" w:lineRule="auto"/>
      </w:pPr>
      <w:r>
        <w:t>Phase 2 implemented multi-tenant authentication and public self-serve registration.</w:t>
      </w:r>
    </w:p>
    <w:p>
      <w:pPr>
        <w:pStyle w:val="ListBullet"/>
        <w:spacing w:before="0" w:after="60" w:line="276" w:lineRule="auto"/>
      </w:pPr>
      <w:r>
        <w:rPr>
          <w:b/>
        </w:rPr>
        <w:t>Registration Pipeline:</w:t>
      </w:r>
      <w:r>
        <w:t>Prospective schools register at /register/ by submitting school details and Owner contact info. This atomically creates a pending Institution and an unactivated Owner account (is_active=False).</w:t>
      </w:r>
    </w:p>
    <w:p>
      <w:pPr>
        <w:pStyle w:val="ListBullet"/>
        <w:spacing w:before="0" w:after="60" w:line="276" w:lineRule="auto"/>
      </w:pPr>
      <w:r>
        <w:rPr>
          <w:b/>
        </w:rPr>
        <w:t>Super Admin Namespace:</w:t>
      </w:r>
      <w:r>
        <w:t>Super Admins manage registrations at /platform/institutions/. Approving an institution sets status='approved' and activates the Owner account. Super Admin URLs (/platform/...) execute completely outside tenant context.</w:t>
      </w:r>
    </w:p>
    <w:p>
      <w:pPr>
        <w:pStyle w:val="ListBullet"/>
        <w:spacing w:before="0" w:after="60" w:line="276" w:lineRule="auto"/>
      </w:pPr>
      <w:r>
        <w:rPr>
          <w:b/>
        </w:rPr>
        <w:t>Login Status Gating:</w:t>
      </w:r>
      <w:r>
        <w:t>Subclassed LoginView verifies email/password and checks institution status. Non-approved schools receive explicit, human-readable review status messages (e.g. 'Your school registration is under review').</w:t>
      </w:r>
    </w:p>
    <w:p>
      <w:pPr>
        <w:keepNext/>
        <w:spacing w:before="360" w:after="120"/>
      </w:pPr>
      <w:r>
        <w:rPr>
          <w:rFonts w:ascii="Calibri" w:hAnsi="Calibri"/>
          <w:b/>
          <w:color w:val="2B3A8F"/>
          <w:sz w:val="36"/>
        </w:rPr>
        <w:t>4. Phase 4 — Student Management &amp; Excel Bulk Import Engine</w:t>
      </w:r>
    </w:p>
    <w:p>
      <w:pPr>
        <w:spacing w:before="0" w:after="120" w:line="276" w:lineRule="auto"/>
      </w:pPr>
      <w:r>
        <w:t>Phase 4 delivered student lifecycle management and a multi-worksheet Excel bulk import pipeline.</w:t>
      </w:r>
    </w:p>
    <w:p>
      <w:pPr>
        <w:pStyle w:val="ListBullet"/>
        <w:spacing w:before="0" w:after="60" w:line="276" w:lineRule="auto"/>
      </w:pPr>
      <w:r>
        <w:rPr>
          <w:b/>
        </w:rPr>
        <w:t>Single Student Creation:</w:t>
      </w:r>
      <w:r>
        <w:t>Single-student creation (/students/add/) automatically assigns admission numbers via generate_admission_number() and creates the first append-only StudentEnrollment record.</w:t>
      </w:r>
    </w:p>
    <w:p>
      <w:pPr>
        <w:pStyle w:val="ListBullet"/>
        <w:spacing w:before="0" w:after="60" w:line="276" w:lineRule="auto"/>
      </w:pPr>
      <w:r>
        <w:rPr>
          <w:b/>
        </w:rPr>
        <w:t>Append-Only Enrollment:</w:t>
      </w:r>
      <w:r>
        <w:t>Class transfers create a new StudentEnrollment row rather than updating existing records, preserving academic history.</w:t>
      </w:r>
    </w:p>
    <w:p>
      <w:pPr>
        <w:keepNext/>
        <w:spacing w:before="240" w:after="80"/>
      </w:pPr>
      <w:r>
        <w:rPr>
          <w:rFonts w:ascii="Calibri" w:hAnsi="Calibri"/>
          <w:b/>
          <w:color w:val="1E2A69"/>
          <w:sz w:val="28"/>
        </w:rPr>
        <w:t>Multi-Worksheet Excel Bulk Import Pipeline</w:t>
      </w:r>
    </w:p>
    <w:p>
      <w:pPr>
        <w:pStyle w:val="ListBullet"/>
        <w:spacing w:before="0" w:after="60" w:line="276" w:lineRule="auto"/>
      </w:pPr>
      <w:r>
        <w:rPr>
          <w:b/>
        </w:rPr>
        <w:t>1. Dynamic Template Generation:</w:t>
      </w:r>
      <w:r>
        <w:t>GET /students/import/template/ generates a downloadable .xlsx workbook with one tab per active class.</w:t>
      </w:r>
    </w:p>
    <w:p>
      <w:pPr>
        <w:pStyle w:val="ListBullet"/>
        <w:spacing w:before="0" w:after="60" w:line="276" w:lineRule="auto"/>
      </w:pPr>
      <w:r>
        <w:rPr>
          <w:b/>
        </w:rPr>
        <w:t>2. Parse &amp; Stage:</w:t>
      </w:r>
      <w:r>
        <w:t>POST /students/import/ parses sheets into BulkImportBatch and BulkImportRow staging tables. Invalid class tab names, missing required fields, or duplicate names/DOBs tag rows as ERROR with detailed reasons.</w:t>
      </w:r>
    </w:p>
    <w:p>
      <w:pPr>
        <w:pStyle w:val="ListBullet"/>
        <w:spacing w:before="0" w:after="60" w:line="276" w:lineRule="auto"/>
      </w:pPr>
      <w:r>
        <w:rPr>
          <w:b/>
        </w:rPr>
        <w:t>3. Preview &amp; Deselect:</w:t>
      </w:r>
      <w:r>
        <w:t>Admin/Owner reviews staged rows grouped by class, with the ability to deselect valid rows before committing.</w:t>
      </w:r>
    </w:p>
    <w:p>
      <w:pPr>
        <w:pStyle w:val="ListBullet"/>
        <w:spacing w:before="0" w:after="60" w:line="276" w:lineRule="auto"/>
      </w:pPr>
      <w:r>
        <w:rPr>
          <w:b/>
        </w:rPr>
        <w:t>4. Atomic Commit:</w:t>
      </w:r>
      <w:r>
        <w:t>Creates Student, StudentEnrollment, and FeeAssignment records in one transaction. Generates sequential admission numbers per row and logs a single summarizing AuditLog entry.</w:t>
      </w:r>
    </w:p>
    <w:p>
      <w:pPr>
        <w:keepNext/>
        <w:spacing w:before="360" w:after="120"/>
      </w:pPr>
      <w:r>
        <w:rPr>
          <w:rFonts w:ascii="Calibri" w:hAnsi="Calibri"/>
          <w:b/>
          <w:color w:val="2B3A8F"/>
          <w:sz w:val="36"/>
        </w:rPr>
        <w:t>5. Phase 5 — Fee &amp; Payment Engine, Receipts &amp; Credit Ledger</w:t>
      </w:r>
    </w:p>
    <w:p>
      <w:pPr>
        <w:spacing w:before="0" w:after="120" w:line="276" w:lineRule="auto"/>
      </w:pPr>
      <w:r>
        <w:t>Phase 5 introduced the financial core of AdminPilot.</w:t>
      </w:r>
    </w:p>
    <w:p>
      <w:pPr>
        <w:pStyle w:val="ListBullet"/>
        <w:spacing w:before="0" w:after="60" w:line="276" w:lineRule="auto"/>
      </w:pPr>
      <w:r>
        <w:rPr>
          <w:b/>
        </w:rPr>
        <w:t>Fee Structure &amp; Auto-Assignment:</w:t>
      </w:r>
      <w:r>
        <w:t>Itemized fee structures created per Class/Session/Term. Auto-assigns StudentFeeAssignment records to all enrolled students.</w:t>
      </w:r>
    </w:p>
    <w:p>
      <w:pPr>
        <w:pStyle w:val="ListBullet"/>
        <w:spacing w:before="0" w:after="60" w:line="276" w:lineRule="auto"/>
      </w:pPr>
      <w:r>
        <w:rPr>
          <w:b/>
        </w:rPr>
        <w:t>Application-Layer Fee Locking:</w:t>
      </w:r>
      <w:r>
        <w:t>The first payment locks FeeStructure (locked=True). Future changes are rejected at view &amp; service layers, requiring individual fee adjustments (/fee-assignments/&lt;id&gt;/adjust/) with mandatory reasons.</w:t>
      </w:r>
    </w:p>
    <w:p>
      <w:pPr>
        <w:pStyle w:val="ListBullet"/>
        <w:spacing w:before="0" w:after="60" w:line="276" w:lineRule="auto"/>
      </w:pPr>
      <w:r>
        <w:rPr>
          <w:b/>
        </w:rPr>
        <w:t>Atomic Payment Recording:</w:t>
      </w:r>
      <w:r>
        <w:t>PaymentCreateView executes payment insert + receipt sequence reservation + receipt insert + overpayment credit calculation in one transaction.atomic() block.</w:t>
      </w:r>
    </w:p>
    <w:p>
      <w:pPr>
        <w:pStyle w:val="ListBullet"/>
        <w:spacing w:before="0" w:after="60" w:line="276" w:lineRule="auto"/>
      </w:pPr>
      <w:r>
        <w:rPr>
          <w:b/>
        </w:rPr>
        <w:t>Overpayment &amp; Credit Ledger:</w:t>
      </w:r>
      <w:r>
        <w:t>Overpayments are recorded on the student's credit_balance. Future payments allow an 'Apply credit' option to apply available credit first.</w:t>
      </w:r>
    </w:p>
    <w:p>
      <w:pPr>
        <w:pStyle w:val="ListBullet"/>
        <w:spacing w:before="0" w:after="60" w:line="276" w:lineRule="auto"/>
      </w:pPr>
      <w:r>
        <w:rPr>
          <w:b/>
        </w:rPr>
        <w:t>Payment Reversals:</w:t>
      </w:r>
      <w:r>
        <w:t>PaymentReversals require mandatory reasons, mark status='reversed', revert credit balances, and preserve receipts for auditing.</w:t>
      </w:r>
    </w:p>
    <w:p>
      <w:pPr>
        <w:pStyle w:val="ListBullet"/>
        <w:spacing w:before="0" w:after="60" w:line="276" w:lineRule="auto"/>
      </w:pPr>
      <w:r>
        <w:rPr>
          <w:b/>
        </w:rPr>
        <w:t>Printable Receipts:</w:t>
      </w:r>
      <w:r>
        <w:t>Rendered via base_print.html using browser window.print() and @media print CSS rules (no heavy PDF engines).</w:t>
      </w:r>
    </w:p>
    <w:p>
      <w:pPr>
        <w:keepNext/>
        <w:spacing w:before="360" w:after="120"/>
      </w:pPr>
      <w:r>
        <w:rPr>
          <w:rFonts w:ascii="Calibri" w:hAnsi="Calibri"/>
          <w:b/>
          <w:color w:val="2B3A8F"/>
          <w:sz w:val="36"/>
        </w:rPr>
        <w:t>6. Phase 6 — Financial Dashboard, Global Search &amp; Activity Timeline</w:t>
      </w:r>
    </w:p>
    <w:p>
      <w:pPr>
        <w:spacing w:before="0" w:after="120" w:line="276" w:lineRule="auto"/>
      </w:pPr>
      <w:r>
        <w:t>Phase 6 assembled live metrics, search capabilities, and audit timelines.</w:t>
      </w:r>
    </w:p>
    <w:p>
      <w:pPr>
        <w:pStyle w:val="ListBullet"/>
        <w:spacing w:before="0" w:after="60" w:line="276" w:lineRule="auto"/>
      </w:pPr>
      <w:r>
        <w:rPr>
          <w:b/>
        </w:rPr>
        <w:t>Financial Dashboard:</w:t>
      </w:r>
      <w:r>
        <w:t>Main page (/) renders server-calculated metrics: Fees Due, Fees Collected, Received Today, Action Required, Quick Actions, and Recent Payments feed. Bursar context omits student and class count cards.</w:t>
      </w:r>
    </w:p>
    <w:p>
      <w:pPr>
        <w:pStyle w:val="ListBullet"/>
        <w:spacing w:before="0" w:after="60" w:line="276" w:lineRule="auto"/>
      </w:pPr>
      <w:r>
        <w:rPr>
          <w:b/>
        </w:rPr>
        <w:t>Global Search &amp; Suggest Endpoint:</w:t>
      </w:r>
      <w:r>
        <w:t>Full-page search (/search/) and SearchSuggestView (/search/suggest/?q=) JSON endpoint for search-as-you-type autocomplete.</w:t>
      </w:r>
    </w:p>
    <w:p>
      <w:pPr>
        <w:pStyle w:val="ListBullet"/>
        <w:spacing w:before="0" w:after="60" w:line="276" w:lineRule="auto"/>
      </w:pPr>
      <w:r>
        <w:rPr>
          <w:b/>
        </w:rPr>
        <w:t>Activity Timeline:</w:t>
      </w:r>
      <w:r>
        <w:t>get_student_timeline compiles AuditLog events, enrollment history, and payment transactions into plain-language activity strings.</w:t>
      </w:r>
    </w:p>
    <w:p>
      <w:pPr>
        <w:keepNext/>
        <w:spacing w:before="360" w:after="120"/>
      </w:pPr>
      <w:r>
        <w:rPr>
          <w:rFonts w:ascii="Calibri" w:hAnsi="Calibri"/>
          <w:b/>
          <w:color w:val="2B3A8F"/>
          <w:sz w:val="36"/>
        </w:rPr>
        <w:t>7. Phase 7 — Timezone-Aware Reports &amp; Data Export Engine</w:t>
      </w:r>
    </w:p>
    <w:p>
      <w:pPr>
        <w:spacing w:before="0" w:after="120" w:line="276" w:lineRule="auto"/>
      </w:pPr>
      <w:r>
        <w:t>Phase 7 implemented financial reporting, CSV streaming exports, and Owner data exports.</w:t>
      </w:r>
    </w:p>
    <w:p>
      <w:pPr>
        <w:pStyle w:val="ListBullet"/>
        <w:spacing w:before="0" w:after="60" w:line="276" w:lineRule="auto"/>
      </w:pPr>
      <w:r>
        <w:rPr>
          <w:b/>
        </w:rPr>
        <w:t>Timezone-Aware Calculations:</w:t>
      </w:r>
      <w:r>
        <w:t>All date boundaries are computed using ZoneInfo(institution.timezone) (e.g. Africa/Lagos) so payments recorded near local midnight belong to the correct local calendar day.</w:t>
      </w:r>
    </w:p>
    <w:p>
      <w:pPr>
        <w:pStyle w:val="ListBullet"/>
        <w:spacing w:before="0" w:after="60" w:line="276" w:lineRule="auto"/>
      </w:pPr>
      <w:r>
        <w:rPr>
          <w:b/>
        </w:rPr>
        <w:t>Four Report Types:</w:t>
      </w:r>
      <w:r>
        <w:t>Reports Hub (/reports/) linking to Income, Outstanding Fees, Student Statement, and Class Summary reports.</w:t>
      </w:r>
    </w:p>
    <w:p>
      <w:pPr>
        <w:pStyle w:val="ListBullet"/>
        <w:spacing w:before="0" w:after="60" w:line="276" w:lineRule="auto"/>
      </w:pPr>
      <w:r>
        <w:rPr>
          <w:b/>
        </w:rPr>
        <w:t>CSV Export Engine:</w:t>
      </w:r>
      <w:r>
        <w:t>Streamed CSV downloads formatted with a UTF-8 BOM (\ufeff) header for clean opening in Microsoft Excel and Google Sheets.</w:t>
      </w:r>
    </w:p>
    <w:p>
      <w:pPr>
        <w:pStyle w:val="ListBullet"/>
        <w:spacing w:before="0" w:after="60" w:line="276" w:lineRule="auto"/>
      </w:pPr>
      <w:r>
        <w:rPr>
          <w:b/>
        </w:rPr>
        <w:t>Owner Data Exports:</w:t>
      </w:r>
      <w:r>
        <w:t>Owner-only endpoints (/export/students/ &amp; /export/payments/) export full rosters and log AuditLog entries (action='data.exported').</w:t>
      </w:r>
    </w:p>
    <w:p>
      <w:pPr>
        <w:keepNext/>
        <w:spacing w:before="360" w:after="120"/>
      </w:pPr>
      <w:r>
        <w:rPr>
          <w:rFonts w:ascii="Calibri" w:hAnsi="Calibri"/>
          <w:b/>
          <w:color w:val="2B3A8F"/>
          <w:sz w:val="36"/>
        </w:rPr>
        <w:t>8. Phase 8 — Staff User Management, Setup Links &amp; Permission Matrix</w:t>
      </w:r>
    </w:p>
    <w:p>
      <w:pPr>
        <w:spacing w:before="0" w:after="120" w:line="276" w:lineRule="auto"/>
      </w:pPr>
      <w:r>
        <w:t>Phase 8 completed staff user management and security verification.</w:t>
      </w:r>
    </w:p>
    <w:p>
      <w:pPr>
        <w:pStyle w:val="ListBullet"/>
        <w:spacing w:before="0" w:after="60" w:line="276" w:lineRule="auto"/>
      </w:pPr>
      <w:r>
        <w:rPr>
          <w:b/>
        </w:rPr>
        <w:t>Setup Link Invitation Pipeline (CR-003):</w:t>
      </w:r>
      <w:r>
        <w:t>Owner manages staff at /settings/users/. Inviting a staff member (UserInviteView) generates a signed setup link (/settings/users/accept/&lt;uidb64&gt;/&lt;token&gt;/) for manual sharing per CR-003.</w:t>
      </w:r>
    </w:p>
    <w:p>
      <w:pPr>
        <w:pStyle w:val="ListBullet"/>
        <w:spacing w:before="0" w:after="60" w:line="276" w:lineRule="auto"/>
      </w:pPr>
      <w:r>
        <w:rPr>
          <w:b/>
        </w:rPr>
        <w:t>User Update &amp; Disabling:</w:t>
      </w:r>
      <w:r>
        <w:t>Owner edits staff roles (Administrator/Bursar) or toggles is_active status to enable/disable access.</w:t>
      </w:r>
    </w:p>
    <w:p>
      <w:pPr>
        <w:pStyle w:val="ListBullet"/>
        <w:spacing w:before="0" w:after="60" w:line="276" w:lineRule="auto"/>
      </w:pPr>
      <w:r>
        <w:rPr>
          <w:b/>
        </w:rPr>
        <w:t>Tiered Audit Log Visibility:</w:t>
      </w:r>
      <w:r>
        <w:t>Owner views all institution logs; Administrator and Bursar view only their own actions.</w:t>
      </w:r>
    </w:p>
    <w:p>
      <w:pPr>
        <w:pStyle w:val="ListBullet"/>
        <w:spacing w:before="0" w:after="60" w:line="276" w:lineRule="auto"/>
      </w:pPr>
      <w:r>
        <w:rPr>
          <w:b/>
        </w:rPr>
        <w:t>Permission Matrix Audit:</w:t>
      </w:r>
      <w:r>
        <w:t>Verified all 14 module access controls across Owner, Administrator, Bursar, and Staff roles in accounts/tests.py.</w:t>
      </w:r>
    </w:p>
    <w:p>
      <w:pPr>
        <w:keepNext/>
        <w:spacing w:before="360" w:after="120"/>
      </w:pPr>
      <w:r>
        <w:rPr>
          <w:rFonts w:ascii="Calibri" w:hAnsi="Calibri"/>
          <w:b/>
          <w:color w:val="2B3A8F"/>
          <w:sz w:val="36"/>
        </w:rPr>
        <w:t>9. Phase 9 — UI Polish &amp; Pilot Readiness Verification</w:t>
      </w:r>
    </w:p>
    <w:p>
      <w:pPr>
        <w:spacing w:before="0" w:after="120" w:line="276" w:lineRule="auto"/>
      </w:pPr>
      <w:r>
        <w:t>Phase 9 finalized pilot readiness with mobile layout polish and multi-tenant testing.</w:t>
      </w:r>
    </w:p>
    <w:p>
      <w:pPr>
        <w:pStyle w:val="ListBullet"/>
        <w:spacing w:before="0" w:after="60" w:line="276" w:lineRule="auto"/>
      </w:pPr>
      <w:r>
        <w:rPr>
          <w:b/>
        </w:rPr>
        <w:t>Mobile &amp; Tablet Polish:</w:t>
      </w:r>
      <w:r>
        <w:t>Media queries (&lt; 900px, &lt; 640px), horizontal scroll wrappers (.table-wrap), and mobile button stacking.</w:t>
      </w:r>
    </w:p>
    <w:p>
      <w:pPr>
        <w:pStyle w:val="ListBullet"/>
        <w:spacing w:before="0" w:after="60" w:line="276" w:lineRule="auto"/>
      </w:pPr>
      <w:r>
        <w:rPr>
          <w:b/>
        </w:rPr>
        <w:t>Multi-Tenant Pilot Verification:</w:t>
      </w:r>
      <w:r>
        <w:t>Test suite (test_phase9_pilot_readiness.py) loaded two simultaneous pilot schools (St. Jude International Academy and Lagos Model College) and verified all 6 items of the Tenant Isolation Checklist.</w:t>
      </w:r>
    </w:p>
    <w:p>
      <w:pPr>
        <w:pStyle w:val="ListBullet"/>
        <w:spacing w:before="0" w:after="60" w:line="276" w:lineRule="auto"/>
      </w:pPr>
      <w:r>
        <w:rPr>
          <w:b/>
        </w:rPr>
        <w:t>Final System Check:</w:t>
      </w:r>
      <w:r>
        <w:t>python manage.py check passed with 0 system issues identified.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D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