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16"/>
        </w:rPr>
      </w:r>
    </w:p>
    <w:p>
      <w:pPr>
        <w:jc w:val="center"/>
      </w:pPr>
      <w:r>
        <w:rPr>
          <w:b/>
          <w:i w:val="0"/>
          <w:color w:val="121F3D"/>
          <w:sz w:val="60"/>
        </w:rPr>
        <w:t>TELCO CUSTOMER CHURN</w:t>
      </w:r>
    </w:p>
    <w:p>
      <w:pPr>
        <w:jc w:val="center"/>
      </w:pPr>
      <w:r>
        <w:rPr>
          <w:b w:val="0"/>
          <w:i w:val="0"/>
          <w:color w:val="0E7C7B"/>
          <w:sz w:val="32"/>
        </w:rPr>
        <w:t>Business Analytics Case Study</w:t>
      </w:r>
    </w:p>
    <w:p/>
    <w:p>
      <w:pPr>
        <w:jc w:val="center"/>
      </w:pPr>
      <w:r>
        <w:rPr>
          <w:b/>
          <w:color w:val="5A6472"/>
          <w:sz w:val="22"/>
        </w:rPr>
        <w:t xml:space="preserve">Prepared by:  </w:t>
      </w:r>
      <w:r>
        <w:rPr>
          <w:color w:val="5A6472"/>
          <w:sz w:val="22"/>
        </w:rPr>
        <w:t>Richard Fajorin</w:t>
      </w:r>
    </w:p>
    <w:p>
      <w:pPr>
        <w:jc w:val="center"/>
      </w:pPr>
      <w:r>
        <w:rPr>
          <w:b/>
          <w:color w:val="5A6472"/>
          <w:sz w:val="22"/>
        </w:rPr>
        <w:t xml:space="preserve">Program:  </w:t>
      </w:r>
      <w:r>
        <w:rPr>
          <w:color w:val="5A6472"/>
          <w:sz w:val="22"/>
        </w:rPr>
        <w:t>AnalystLab Africa – Data Analytics Internship</w:t>
      </w:r>
    </w:p>
    <w:p>
      <w:pPr>
        <w:jc w:val="center"/>
      </w:pPr>
      <w:r>
        <w:rPr>
          <w:b/>
          <w:color w:val="5A6472"/>
          <w:sz w:val="22"/>
        </w:rPr>
        <w:t xml:space="preserve">Assignment:  </w:t>
      </w:r>
      <w:r>
        <w:rPr>
          <w:color w:val="5A6472"/>
          <w:sz w:val="22"/>
        </w:rPr>
        <w:t>Week 5 – Business Analytics Case Study</w:t>
      </w:r>
    </w:p>
    <w:p>
      <w:pPr>
        <w:jc w:val="center"/>
      </w:pPr>
      <w:r>
        <w:rPr>
          <w:b/>
          <w:color w:val="5A6472"/>
          <w:sz w:val="22"/>
        </w:rPr>
        <w:t xml:space="preserve">Tools:  </w:t>
      </w:r>
      <w:r>
        <w:rPr>
          <w:color w:val="5A6472"/>
          <w:sz w:val="22"/>
        </w:rPr>
        <w:t>Python, Pandas, Matplotlib, Seaborn</w:t>
      </w:r>
    </w:p>
    <w:p>
      <w:pPr>
        <w:jc w:val="center"/>
      </w:pPr>
      <w:r>
        <w:rPr>
          <w:b/>
          <w:color w:val="5A6472"/>
          <w:sz w:val="22"/>
        </w:rPr>
        <w:t xml:space="preserve">Dataset:  </w:t>
      </w:r>
      <w:r>
        <w:rPr>
          <w:color w:val="5A6472"/>
          <w:sz w:val="22"/>
        </w:rPr>
        <w:t>Telco Customer Churn Dataset</w:t>
      </w:r>
    </w:p>
    <w:p/>
    <w:p>
      <w:pPr>
        <w:pBdr>
          <w:bottom w:val="single" w:sz="12" w:color="0E7C7B"/>
        </w:pBdr>
      </w:pPr>
    </w:p>
    <w:p>
      <w:pPr>
        <w:pStyle w:val="Heading1"/>
      </w:pPr>
      <w:r>
        <w:t>1. Introduction</w:t>
      </w:r>
    </w:p>
    <w:p>
      <w:r>
        <w:rPr>
          <w:b w:val="0"/>
          <w:i w:val="0"/>
          <w:sz w:val="22"/>
        </w:rPr>
        <w:t>Customer retention is an important business challenge for telecommunications companies because losing existing customers can affect revenue and long-term customer relationships. Understanding why customers leave can help a company identify high-risk customer segments and develop targeted retention strategies.</w:t>
      </w:r>
    </w:p>
    <w:p>
      <w:r>
        <w:rPr>
          <w:b w:val="0"/>
          <w:i w:val="0"/>
          <w:sz w:val="22"/>
        </w:rPr>
        <w:t>This case study analyzes the Telco Customer Churn dataset to identify patterns associated with customer churn. The analysis focuses on contract type, monthly charges, customer tenure, internet service, and payment method, while also examining additional customer and service characteristics.</w:t>
      </w:r>
    </w:p>
    <w:p>
      <w:r>
        <w:rPr>
          <w:b w:val="0"/>
          <w:i w:val="0"/>
          <w:sz w:val="22"/>
        </w:rPr>
        <w:t>The objective is to use data analysis to understand which customer segments show higher churn rates and translate these findings into practical business recommendations.</w:t>
      </w:r>
    </w:p>
    <w:p>
      <w:pPr>
        <w:pStyle w:val="Heading1"/>
      </w:pPr>
      <w:r>
        <w:t>2. Business Problem</w:t>
      </w:r>
    </w:p>
    <w:p>
      <w:r>
        <w:t>The main business problem addressed in this case study is:</w:t>
      </w:r>
    </w:p>
    <w:p>
      <w:r>
        <w:rPr>
          <w:b/>
          <w:i/>
          <w:color w:val="121F3D"/>
          <w:sz w:val="22"/>
        </w:rPr>
        <w:t>Why are customers leaving the telecom company, and which factors are most strongly associated with customer churn?</w:t>
      </w:r>
    </w:p>
    <w:p>
      <w:r>
        <w:rPr>
          <w:b w:val="0"/>
          <w:i w:val="0"/>
          <w:sz w:val="22"/>
        </w:rPr>
        <w:t>A high churn rate can indicate that customers are experiencing issues related to pricing, service offerings, payment processes, or the overall customer experience.</w:t>
      </w:r>
    </w:p>
    <w:p>
      <w:r>
        <w:rPr>
          <w:b w:val="0"/>
          <w:i w:val="0"/>
          <w:sz w:val="22"/>
        </w:rPr>
        <w:t>By identifying customer groups with higher churn rates, the company can prioritize retention efforts and investigate the underlying reasons for customer dissatisfaction.</w:t>
      </w:r>
    </w:p>
    <w:p>
      <w:pPr>
        <w:pStyle w:val="Heading1"/>
      </w:pPr>
      <w:r>
        <w:t>3. Dataset Description</w:t>
      </w:r>
    </w:p>
    <w:p>
      <w:r>
        <w:rPr>
          <w:b w:val="0"/>
          <w:i w:val="0"/>
          <w:sz w:val="22"/>
        </w:rPr>
        <w:t>The dataset contains 7,043 customer records. The main outcome variable is Churn, which indicates whether a customer left the company.</w:t>
      </w:r>
    </w:p>
    <w:p>
      <w:pPr>
        <w:pStyle w:val="Heading2"/>
      </w:pPr>
      <w:r>
        <w:t>3.1 Overall Customer Statistics</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Metric</w:t>
            </w:r>
          </w:p>
        </w:tc>
        <w:tc>
          <w:tcPr>
            <w:tcW w:type="dxa" w:w="3168"/>
            <w:shd w:val="clear" w:fill="121F3D"/>
          </w:tcPr>
          <w:p>
            <w:pPr>
              <w:jc w:val="right"/>
            </w:pPr>
            <w:r/>
            <w:r>
              <w:rPr>
                <w:b/>
                <w:color w:val="FFFFFF"/>
                <w:sz w:val="21"/>
              </w:rPr>
              <w:t>Result</w:t>
            </w:r>
          </w:p>
        </w:tc>
      </w:tr>
      <w:tr>
        <w:tc>
          <w:tcPr>
            <w:tcW w:type="dxa" w:w="4608"/>
          </w:tcPr>
          <w:p>
            <w:r/>
            <w:r>
              <w:rPr>
                <w:sz w:val="21"/>
              </w:rPr>
              <w:t>Total Customers</w:t>
            </w:r>
          </w:p>
        </w:tc>
        <w:tc>
          <w:tcPr>
            <w:tcW w:type="dxa" w:w="3168"/>
          </w:tcPr>
          <w:p>
            <w:pPr>
              <w:jc w:val="right"/>
            </w:pPr>
            <w:r/>
            <w:r>
              <w:rPr>
                <w:sz w:val="21"/>
              </w:rPr>
              <w:t>7,043</w:t>
            </w:r>
          </w:p>
        </w:tc>
      </w:tr>
      <w:tr>
        <w:tc>
          <w:tcPr>
            <w:tcW w:type="dxa" w:w="4608"/>
            <w:shd w:val="clear" w:fill="F4F6FA"/>
          </w:tcPr>
          <w:p>
            <w:r/>
            <w:r>
              <w:rPr>
                <w:sz w:val="21"/>
              </w:rPr>
              <w:t>Churned Customers</w:t>
            </w:r>
          </w:p>
        </w:tc>
        <w:tc>
          <w:tcPr>
            <w:tcW w:type="dxa" w:w="3168"/>
            <w:shd w:val="clear" w:fill="F4F6FA"/>
          </w:tcPr>
          <w:p>
            <w:pPr>
              <w:jc w:val="right"/>
            </w:pPr>
            <w:r/>
            <w:r>
              <w:rPr>
                <w:sz w:val="21"/>
              </w:rPr>
              <w:t>1,869</w:t>
            </w:r>
          </w:p>
        </w:tc>
      </w:tr>
      <w:tr>
        <w:tc>
          <w:tcPr>
            <w:tcW w:type="dxa" w:w="4608"/>
          </w:tcPr>
          <w:p>
            <w:r/>
            <w:r>
              <w:rPr>
                <w:sz w:val="21"/>
              </w:rPr>
              <w:t>Retained Customers</w:t>
            </w:r>
          </w:p>
        </w:tc>
        <w:tc>
          <w:tcPr>
            <w:tcW w:type="dxa" w:w="3168"/>
          </w:tcPr>
          <w:p>
            <w:pPr>
              <w:jc w:val="right"/>
            </w:pPr>
            <w:r/>
            <w:r>
              <w:rPr>
                <w:sz w:val="21"/>
              </w:rPr>
              <w:t>5,174</w:t>
            </w:r>
          </w:p>
        </w:tc>
      </w:tr>
      <w:tr>
        <w:tc>
          <w:tcPr>
            <w:tcW w:type="dxa" w:w="4608"/>
            <w:shd w:val="clear" w:fill="F4F6FA"/>
          </w:tcPr>
          <w:p>
            <w:r/>
            <w:r>
              <w:rPr>
                <w:sz w:val="21"/>
              </w:rPr>
              <w:t>Overall Churn Rate</w:t>
            </w:r>
          </w:p>
        </w:tc>
        <w:tc>
          <w:tcPr>
            <w:tcW w:type="dxa" w:w="3168"/>
            <w:shd w:val="clear" w:fill="F4F6FA"/>
          </w:tcPr>
          <w:p>
            <w:pPr>
              <w:jc w:val="right"/>
            </w:pPr>
            <w:r/>
            <w:r>
              <w:rPr>
                <w:sz w:val="21"/>
              </w:rPr>
              <w:t>26.54%</w:t>
            </w:r>
          </w:p>
        </w:tc>
      </w:tr>
      <w:tr>
        <w:tc>
          <w:tcPr>
            <w:tcW w:type="dxa" w:w="4608"/>
          </w:tcPr>
          <w:p>
            <w:r/>
            <w:r>
              <w:rPr>
                <w:sz w:val="21"/>
              </w:rPr>
              <w:t>Average Monthly Charge</w:t>
            </w:r>
          </w:p>
        </w:tc>
        <w:tc>
          <w:tcPr>
            <w:tcW w:type="dxa" w:w="3168"/>
          </w:tcPr>
          <w:p>
            <w:pPr>
              <w:jc w:val="right"/>
            </w:pPr>
            <w:r/>
            <w:r>
              <w:rPr>
                <w:sz w:val="21"/>
              </w:rPr>
              <w:t>64.76</w:t>
            </w:r>
          </w:p>
        </w:tc>
      </w:tr>
      <w:tr>
        <w:tc>
          <w:tcPr>
            <w:tcW w:type="dxa" w:w="4608"/>
            <w:shd w:val="clear" w:fill="F4F6FA"/>
          </w:tcPr>
          <w:p>
            <w:r/>
            <w:r>
              <w:rPr>
                <w:sz w:val="21"/>
              </w:rPr>
              <w:t>Average Tenure</w:t>
            </w:r>
          </w:p>
        </w:tc>
        <w:tc>
          <w:tcPr>
            <w:tcW w:type="dxa" w:w="3168"/>
            <w:shd w:val="clear" w:fill="F4F6FA"/>
          </w:tcPr>
          <w:p>
            <w:pPr>
              <w:jc w:val="right"/>
            </w:pPr>
            <w:r/>
            <w:r>
              <w:rPr>
                <w:sz w:val="21"/>
              </w:rPr>
              <w:t>32.37 months</w:t>
            </w:r>
          </w:p>
        </w:tc>
      </w:tr>
    </w:tbl>
    <w:p/>
    <w:p>
      <w:r>
        <w:rPr>
          <w:b w:val="0"/>
          <w:i w:val="0"/>
          <w:sz w:val="22"/>
        </w:rPr>
        <w:t>Approximately 26.54% of customers churned, while 73.46% remained with the company. This means that roughly one in four customers in the dataset had left the company.</w:t>
      </w:r>
    </w:p>
    <w:p>
      <w:pPr>
        <w:pStyle w:val="Heading1"/>
      </w:pPr>
      <w:r>
        <w:t>4. Data Analysis Process</w:t>
      </w:r>
    </w:p>
    <w:p>
      <w:r>
        <w:rPr>
          <w:b w:val="0"/>
          <w:i w:val="0"/>
          <w:sz w:val="22"/>
        </w:rPr>
        <w:t>The analysis was conducted using Python and included the following steps:</w:t>
      </w:r>
    </w:p>
    <w:p>
      <w:pPr>
        <w:pStyle w:val="ListNumber"/>
      </w:pPr>
      <w:r>
        <w:t>Loading and inspecting the dataset.</w:t>
      </w:r>
    </w:p>
    <w:p>
      <w:pPr>
        <w:pStyle w:val="ListNumber"/>
      </w:pPr>
      <w:r>
        <w:t>Checking the dataset structure and data types.</w:t>
      </w:r>
    </w:p>
    <w:p>
      <w:pPr>
        <w:pStyle w:val="ListNumber"/>
      </w:pPr>
      <w:r>
        <w:t>Assessing the data for missing values.</w:t>
      </w:r>
    </w:p>
    <w:p>
      <w:pPr>
        <w:pStyle w:val="ListNumber"/>
      </w:pPr>
      <w:r>
        <w:t>Examining descriptive statistics.</w:t>
      </w:r>
    </w:p>
    <w:p>
      <w:pPr>
        <w:pStyle w:val="ListNumber"/>
      </w:pPr>
      <w:r>
        <w:t>Calculating overall churn rates.</w:t>
      </w:r>
    </w:p>
    <w:p>
      <w:pPr>
        <w:pStyle w:val="ListNumber"/>
      </w:pPr>
      <w:r>
        <w:t>Comparing churn across different customer segments.</w:t>
      </w:r>
    </w:p>
    <w:p>
      <w:pPr>
        <w:pStyle w:val="ListNumber"/>
      </w:pPr>
      <w:r>
        <w:t>Analyzing numerical variables such as tenure and monthly charges.</w:t>
      </w:r>
    </w:p>
    <w:p>
      <w:pPr>
        <w:pStyle w:val="ListNumber"/>
      </w:pPr>
      <w:r>
        <w:t>Creating visualizations to identify patterns.</w:t>
      </w:r>
    </w:p>
    <w:p>
      <w:pPr>
        <w:pStyle w:val="ListNumber"/>
      </w:pPr>
      <w:r>
        <w:t>Performing correlation analysis on numerical variables.</w:t>
      </w:r>
    </w:p>
    <w:p>
      <w:pPr>
        <w:pStyle w:val="ListNumber"/>
      </w:pPr>
      <w:r>
        <w:t>Translating the findings into business insights and recommendations.</w:t>
      </w:r>
    </w:p>
    <w:p>
      <w:r>
        <w:rPr>
          <w:b w:val="0"/>
          <w:i/>
          <w:color w:val="5A6472"/>
          <w:sz w:val="22"/>
        </w:rPr>
        <w:t>The analysis focused primarily on identifying associations and patterns rather than claiming that individual variables directly cause churn.</w:t>
      </w:r>
    </w:p>
    <w:p>
      <w:pPr>
        <w:pStyle w:val="Heading1"/>
      </w:pPr>
      <w:r>
        <w:t>5. Key Findings</w:t>
      </w:r>
    </w:p>
    <w:p>
      <w:pPr>
        <w:pStyle w:val="Heading2"/>
      </w:pPr>
      <w:r>
        <w:t>5.1 Overall Churn</w:t>
      </w:r>
    </w:p>
    <w:p>
      <w:r>
        <w:rPr>
          <w:b w:val="0"/>
          <w:i w:val="0"/>
          <w:sz w:val="22"/>
        </w:rPr>
        <w:t>The overall churn rate was 26.54%. Out of 7,043 customers, 1,869 customers churned and 5,174 customers remained. This indicates that customer churn is a significant retention issue within the dataset.</w:t>
      </w:r>
    </w:p>
    <w:p>
      <w:pPr>
        <w:pStyle w:val="Heading2"/>
      </w:pPr>
      <w:r>
        <w:t>5.2 Contract Type</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Contract Type</w:t>
            </w:r>
          </w:p>
        </w:tc>
        <w:tc>
          <w:tcPr>
            <w:tcW w:type="dxa" w:w="3168"/>
            <w:shd w:val="clear" w:fill="121F3D"/>
          </w:tcPr>
          <w:p>
            <w:pPr>
              <w:jc w:val="right"/>
            </w:pPr>
            <w:r/>
            <w:r>
              <w:rPr>
                <w:b/>
                <w:color w:val="FFFFFF"/>
                <w:sz w:val="21"/>
              </w:rPr>
              <w:t>Churn Rate</w:t>
            </w:r>
          </w:p>
        </w:tc>
      </w:tr>
      <w:tr>
        <w:tc>
          <w:tcPr>
            <w:tcW w:type="dxa" w:w="4608"/>
          </w:tcPr>
          <w:p>
            <w:r/>
            <w:r>
              <w:rPr>
                <w:sz w:val="21"/>
              </w:rPr>
              <w:t>Month-to-month</w:t>
            </w:r>
          </w:p>
        </w:tc>
        <w:tc>
          <w:tcPr>
            <w:tcW w:type="dxa" w:w="3168"/>
          </w:tcPr>
          <w:p>
            <w:pPr>
              <w:jc w:val="right"/>
            </w:pPr>
            <w:r/>
            <w:r>
              <w:rPr>
                <w:b/>
                <w:color w:val="0E7C7B"/>
                <w:sz w:val="21"/>
              </w:rPr>
              <w:t>42.71%</w:t>
            </w:r>
          </w:p>
        </w:tc>
      </w:tr>
      <w:tr>
        <w:tc>
          <w:tcPr>
            <w:tcW w:type="dxa" w:w="4608"/>
            <w:shd w:val="clear" w:fill="F4F6FA"/>
          </w:tcPr>
          <w:p>
            <w:r/>
            <w:r>
              <w:rPr>
                <w:sz w:val="21"/>
              </w:rPr>
              <w:t>One year</w:t>
            </w:r>
          </w:p>
        </w:tc>
        <w:tc>
          <w:tcPr>
            <w:tcW w:type="dxa" w:w="3168"/>
            <w:shd w:val="clear" w:fill="F4F6FA"/>
          </w:tcPr>
          <w:p>
            <w:pPr>
              <w:jc w:val="right"/>
            </w:pPr>
            <w:r/>
            <w:r>
              <w:rPr>
                <w:b/>
                <w:color w:val="0E7C7B"/>
                <w:sz w:val="21"/>
              </w:rPr>
              <w:t>11.27%</w:t>
            </w:r>
          </w:p>
        </w:tc>
      </w:tr>
      <w:tr>
        <w:tc>
          <w:tcPr>
            <w:tcW w:type="dxa" w:w="4608"/>
          </w:tcPr>
          <w:p>
            <w:r/>
            <w:r>
              <w:rPr>
                <w:sz w:val="21"/>
              </w:rPr>
              <w:t>Two year</w:t>
            </w:r>
          </w:p>
        </w:tc>
        <w:tc>
          <w:tcPr>
            <w:tcW w:type="dxa" w:w="3168"/>
          </w:tcPr>
          <w:p>
            <w:pPr>
              <w:jc w:val="right"/>
            </w:pPr>
            <w:r/>
            <w:r>
              <w:rPr>
                <w:b/>
                <w:color w:val="0E7C7B"/>
                <w:sz w:val="21"/>
              </w:rPr>
              <w:t>2.83%</w:t>
            </w:r>
          </w:p>
        </w:tc>
      </w:tr>
    </w:tbl>
    <w:p/>
    <w:p>
      <w:r>
        <w:rPr>
          <w:b w:val="0"/>
          <w:i w:val="0"/>
          <w:sz w:val="22"/>
        </w:rPr>
        <w:t>Customers on month-to-month contracts showed substantially higher churn than customers on one-year and two-year contracts. The churn rate for month-to-month customers was 42.71%, compared with only 2.83% for customers on two-year contracts.</w:t>
      </w:r>
    </w:p>
    <w:p>
      <w:pPr>
        <w:pStyle w:val="Heading3"/>
      </w:pPr>
      <w:r>
        <w:t>Business Interpretation</w:t>
      </w:r>
    </w:p>
    <w:p>
      <w:r>
        <w:rPr>
          <w:b w:val="0"/>
          <w:i w:val="0"/>
          <w:sz w:val="22"/>
        </w:rPr>
        <w:t>Contract type is strongly associated with customer retention. Month-to-month customers may represent an important segment for retention campaigns because they have fewer contractual barriers to leaving. This does not mean that contract type itself causes churn, but it identifies a segment that deserves attention.</w:t>
      </w:r>
    </w:p>
    <w:p>
      <w:pPr>
        <w:pStyle w:val="Heading2"/>
      </w:pPr>
      <w:r>
        <w:t>5.3 Monthly Charges</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Churn Status</w:t>
            </w:r>
          </w:p>
        </w:tc>
        <w:tc>
          <w:tcPr>
            <w:tcW w:type="dxa" w:w="3168"/>
            <w:shd w:val="clear" w:fill="121F3D"/>
          </w:tcPr>
          <w:p>
            <w:pPr>
              <w:jc w:val="right"/>
            </w:pPr>
            <w:r/>
            <w:r>
              <w:rPr>
                <w:b/>
                <w:color w:val="FFFFFF"/>
                <w:sz w:val="21"/>
              </w:rPr>
              <w:t>Average Monthly Charge</w:t>
            </w:r>
          </w:p>
        </w:tc>
      </w:tr>
      <w:tr>
        <w:tc>
          <w:tcPr>
            <w:tcW w:type="dxa" w:w="4608"/>
          </w:tcPr>
          <w:p>
            <w:r/>
            <w:r>
              <w:rPr>
                <w:sz w:val="21"/>
              </w:rPr>
              <w:t>Retained</w:t>
            </w:r>
          </w:p>
        </w:tc>
        <w:tc>
          <w:tcPr>
            <w:tcW w:type="dxa" w:w="3168"/>
          </w:tcPr>
          <w:p>
            <w:pPr>
              <w:jc w:val="right"/>
            </w:pPr>
            <w:r/>
            <w:r>
              <w:rPr>
                <w:b/>
                <w:color w:val="0E7C7B"/>
                <w:sz w:val="21"/>
              </w:rPr>
              <w:t>61.27</w:t>
            </w:r>
          </w:p>
        </w:tc>
      </w:tr>
      <w:tr>
        <w:tc>
          <w:tcPr>
            <w:tcW w:type="dxa" w:w="4608"/>
            <w:shd w:val="clear" w:fill="F4F6FA"/>
          </w:tcPr>
          <w:p>
            <w:r/>
            <w:r>
              <w:rPr>
                <w:sz w:val="21"/>
              </w:rPr>
              <w:t>Churned</w:t>
            </w:r>
          </w:p>
        </w:tc>
        <w:tc>
          <w:tcPr>
            <w:tcW w:type="dxa" w:w="3168"/>
            <w:shd w:val="clear" w:fill="F4F6FA"/>
          </w:tcPr>
          <w:p>
            <w:pPr>
              <w:jc w:val="right"/>
            </w:pPr>
            <w:r/>
            <w:r>
              <w:rPr>
                <w:b/>
                <w:color w:val="0E7C7B"/>
                <w:sz w:val="21"/>
              </w:rPr>
              <w:t>74.44</w:t>
            </w:r>
          </w:p>
        </w:tc>
      </w:tr>
    </w:tbl>
    <w:p/>
    <w:p>
      <w:r>
        <w:rPr>
          <w:b w:val="0"/>
          <w:i w:val="0"/>
          <w:sz w:val="22"/>
        </w:rPr>
        <w:t>Customers who churned had higher average monthly charges than customers who stayed: 74.44 among churned customers versus 61.27 among retained customers — a difference of approximately 13.18.</w:t>
      </w:r>
    </w:p>
    <w:p>
      <w:pPr>
        <w:pStyle w:val="Heading3"/>
      </w:pPr>
      <w:r>
        <w:t>Business Interpretation</w:t>
      </w:r>
    </w:p>
    <w:p>
      <w:r>
        <w:rPr>
          <w:b w:val="0"/>
          <w:i w:val="0"/>
          <w:sz w:val="22"/>
        </w:rPr>
        <w:t>Higher monthly charges are associated with increased churn in the dataset. The company could therefore investigate whether higher-paying customers perceive their plans as poor value or whether certain expensive service combinations are associated with dissatisfaction.</w:t>
      </w:r>
    </w:p>
    <w:p>
      <w:pPr>
        <w:pStyle w:val="Heading2"/>
      </w:pPr>
      <w:r>
        <w:t>5.4 Customer Tenure</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Churn Status</w:t>
            </w:r>
          </w:p>
        </w:tc>
        <w:tc>
          <w:tcPr>
            <w:tcW w:type="dxa" w:w="3168"/>
            <w:shd w:val="clear" w:fill="121F3D"/>
          </w:tcPr>
          <w:p>
            <w:pPr>
              <w:jc w:val="right"/>
            </w:pPr>
            <w:r/>
            <w:r>
              <w:rPr>
                <w:b/>
                <w:color w:val="FFFFFF"/>
                <w:sz w:val="21"/>
              </w:rPr>
              <w:t>Average Tenure</w:t>
            </w:r>
          </w:p>
        </w:tc>
      </w:tr>
      <w:tr>
        <w:tc>
          <w:tcPr>
            <w:tcW w:type="dxa" w:w="4608"/>
          </w:tcPr>
          <w:p>
            <w:r/>
            <w:r>
              <w:rPr>
                <w:sz w:val="21"/>
              </w:rPr>
              <w:t>Retained</w:t>
            </w:r>
          </w:p>
        </w:tc>
        <w:tc>
          <w:tcPr>
            <w:tcW w:type="dxa" w:w="3168"/>
          </w:tcPr>
          <w:p>
            <w:pPr>
              <w:jc w:val="right"/>
            </w:pPr>
            <w:r/>
            <w:r>
              <w:rPr>
                <w:b/>
                <w:color w:val="0E7C7B"/>
                <w:sz w:val="21"/>
              </w:rPr>
              <w:t>37.57 months</w:t>
            </w:r>
          </w:p>
        </w:tc>
      </w:tr>
      <w:tr>
        <w:tc>
          <w:tcPr>
            <w:tcW w:type="dxa" w:w="4608"/>
            <w:shd w:val="clear" w:fill="F4F6FA"/>
          </w:tcPr>
          <w:p>
            <w:r/>
            <w:r>
              <w:rPr>
                <w:sz w:val="21"/>
              </w:rPr>
              <w:t>Churned</w:t>
            </w:r>
          </w:p>
        </w:tc>
        <w:tc>
          <w:tcPr>
            <w:tcW w:type="dxa" w:w="3168"/>
            <w:shd w:val="clear" w:fill="F4F6FA"/>
          </w:tcPr>
          <w:p>
            <w:pPr>
              <w:jc w:val="right"/>
            </w:pPr>
            <w:r/>
            <w:r>
              <w:rPr>
                <w:b/>
                <w:color w:val="0E7C7B"/>
                <w:sz w:val="21"/>
              </w:rPr>
              <w:t>17.98 months</w:t>
            </w:r>
          </w:p>
        </w:tc>
      </w:tr>
    </w:tbl>
    <w:p/>
    <w:p>
      <w:r>
        <w:rPr>
          <w:b w:val="0"/>
          <w:i w:val="0"/>
          <w:sz w:val="22"/>
        </w:rPr>
        <w:t>Churned customers had substantially shorter tenure than retained customers.</w:t>
      </w:r>
    </w:p>
    <w:p>
      <w:pPr>
        <w:pStyle w:val="Heading3"/>
      </w:pPr>
      <w:r>
        <w:t>Tenure Groups</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Tenure Group</w:t>
            </w:r>
          </w:p>
        </w:tc>
        <w:tc>
          <w:tcPr>
            <w:tcW w:type="dxa" w:w="3168"/>
            <w:shd w:val="clear" w:fill="121F3D"/>
          </w:tcPr>
          <w:p>
            <w:pPr>
              <w:jc w:val="right"/>
            </w:pPr>
            <w:r/>
            <w:r>
              <w:rPr>
                <w:b/>
                <w:color w:val="FFFFFF"/>
                <w:sz w:val="21"/>
              </w:rPr>
              <w:t>Churn Rate</w:t>
            </w:r>
          </w:p>
        </w:tc>
      </w:tr>
      <w:tr>
        <w:tc>
          <w:tcPr>
            <w:tcW w:type="dxa" w:w="4608"/>
          </w:tcPr>
          <w:p>
            <w:r/>
            <w:r>
              <w:rPr>
                <w:sz w:val="21"/>
              </w:rPr>
              <w:t>0–12 months</w:t>
            </w:r>
          </w:p>
        </w:tc>
        <w:tc>
          <w:tcPr>
            <w:tcW w:type="dxa" w:w="3168"/>
          </w:tcPr>
          <w:p>
            <w:pPr>
              <w:jc w:val="right"/>
            </w:pPr>
            <w:r/>
            <w:r>
              <w:rPr>
                <w:b/>
                <w:color w:val="0E7C7B"/>
                <w:sz w:val="21"/>
              </w:rPr>
              <w:t>47.44%</w:t>
            </w:r>
          </w:p>
        </w:tc>
      </w:tr>
      <w:tr>
        <w:tc>
          <w:tcPr>
            <w:tcW w:type="dxa" w:w="4608"/>
            <w:shd w:val="clear" w:fill="F4F6FA"/>
          </w:tcPr>
          <w:p>
            <w:r/>
            <w:r>
              <w:rPr>
                <w:sz w:val="21"/>
              </w:rPr>
              <w:t>13–24 months</w:t>
            </w:r>
          </w:p>
        </w:tc>
        <w:tc>
          <w:tcPr>
            <w:tcW w:type="dxa" w:w="3168"/>
            <w:shd w:val="clear" w:fill="F4F6FA"/>
          </w:tcPr>
          <w:p>
            <w:pPr>
              <w:jc w:val="right"/>
            </w:pPr>
            <w:r/>
            <w:r>
              <w:rPr>
                <w:b/>
                <w:color w:val="0E7C7B"/>
                <w:sz w:val="21"/>
              </w:rPr>
              <w:t>28.71%</w:t>
            </w:r>
          </w:p>
        </w:tc>
      </w:tr>
      <w:tr>
        <w:tc>
          <w:tcPr>
            <w:tcW w:type="dxa" w:w="4608"/>
          </w:tcPr>
          <w:p>
            <w:r/>
            <w:r>
              <w:rPr>
                <w:sz w:val="21"/>
              </w:rPr>
              <w:t>25–48 months</w:t>
            </w:r>
          </w:p>
        </w:tc>
        <w:tc>
          <w:tcPr>
            <w:tcW w:type="dxa" w:w="3168"/>
          </w:tcPr>
          <w:p>
            <w:pPr>
              <w:jc w:val="right"/>
            </w:pPr>
            <w:r/>
            <w:r>
              <w:rPr>
                <w:b/>
                <w:color w:val="0E7C7B"/>
                <w:sz w:val="21"/>
              </w:rPr>
              <w:t>20.39%</w:t>
            </w:r>
          </w:p>
        </w:tc>
      </w:tr>
      <w:tr>
        <w:tc>
          <w:tcPr>
            <w:tcW w:type="dxa" w:w="4608"/>
            <w:shd w:val="clear" w:fill="F4F6FA"/>
          </w:tcPr>
          <w:p>
            <w:r/>
            <w:r>
              <w:rPr>
                <w:sz w:val="21"/>
              </w:rPr>
              <w:t>49–72 months</w:t>
            </w:r>
          </w:p>
        </w:tc>
        <w:tc>
          <w:tcPr>
            <w:tcW w:type="dxa" w:w="3168"/>
            <w:shd w:val="clear" w:fill="F4F6FA"/>
          </w:tcPr>
          <w:p>
            <w:pPr>
              <w:jc w:val="right"/>
            </w:pPr>
            <w:r/>
            <w:r>
              <w:rPr>
                <w:b/>
                <w:color w:val="0E7C7B"/>
                <w:sz w:val="21"/>
              </w:rPr>
              <w:t>9.51%</w:t>
            </w:r>
          </w:p>
        </w:tc>
      </w:tr>
    </w:tbl>
    <w:p/>
    <w:p>
      <w:r>
        <w:rPr>
          <w:b w:val="0"/>
          <w:i w:val="0"/>
          <w:sz w:val="22"/>
        </w:rPr>
        <w:t>Customers in the 0–12 month group had the highest churn rate at 47.44%, while customers with 49–72 months of tenure had the lowest rate at 9.51%.</w:t>
      </w:r>
    </w:p>
    <w:p>
      <w:pPr>
        <w:pStyle w:val="Heading3"/>
      </w:pPr>
      <w:r>
        <w:t>Business Interpretation</w:t>
      </w:r>
    </w:p>
    <w:p>
      <w:r>
        <w:rPr>
          <w:b w:val="0"/>
          <w:i w:val="0"/>
          <w:sz w:val="22"/>
        </w:rPr>
        <w:t>The early stage of the customer relationship appears to be a particularly important period for retention. Customers who have recently joined the company may require stronger onboarding, support, and engagement to increase the likelihood that they remain customers.</w:t>
      </w:r>
    </w:p>
    <w:p>
      <w:pPr>
        <w:pStyle w:val="Heading2"/>
      </w:pPr>
      <w:r>
        <w:t>5.5 Internet Service</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Internet Service</w:t>
            </w:r>
          </w:p>
        </w:tc>
        <w:tc>
          <w:tcPr>
            <w:tcW w:type="dxa" w:w="3168"/>
            <w:shd w:val="clear" w:fill="121F3D"/>
          </w:tcPr>
          <w:p>
            <w:pPr>
              <w:jc w:val="right"/>
            </w:pPr>
            <w:r/>
            <w:r>
              <w:rPr>
                <w:b/>
                <w:color w:val="FFFFFF"/>
                <w:sz w:val="21"/>
              </w:rPr>
              <w:t>Churn Rate</w:t>
            </w:r>
          </w:p>
        </w:tc>
      </w:tr>
      <w:tr>
        <w:tc>
          <w:tcPr>
            <w:tcW w:type="dxa" w:w="4608"/>
          </w:tcPr>
          <w:p>
            <w:r/>
            <w:r>
              <w:rPr>
                <w:sz w:val="21"/>
              </w:rPr>
              <w:t>Fiber optic</w:t>
            </w:r>
          </w:p>
        </w:tc>
        <w:tc>
          <w:tcPr>
            <w:tcW w:type="dxa" w:w="3168"/>
          </w:tcPr>
          <w:p>
            <w:pPr>
              <w:jc w:val="right"/>
            </w:pPr>
            <w:r/>
            <w:r>
              <w:rPr>
                <w:b/>
                <w:color w:val="0E7C7B"/>
                <w:sz w:val="21"/>
              </w:rPr>
              <w:t>41.89%</w:t>
            </w:r>
          </w:p>
        </w:tc>
      </w:tr>
      <w:tr>
        <w:tc>
          <w:tcPr>
            <w:tcW w:type="dxa" w:w="4608"/>
            <w:shd w:val="clear" w:fill="F4F6FA"/>
          </w:tcPr>
          <w:p>
            <w:r/>
            <w:r>
              <w:rPr>
                <w:sz w:val="21"/>
              </w:rPr>
              <w:t>DSL</w:t>
            </w:r>
          </w:p>
        </w:tc>
        <w:tc>
          <w:tcPr>
            <w:tcW w:type="dxa" w:w="3168"/>
            <w:shd w:val="clear" w:fill="F4F6FA"/>
          </w:tcPr>
          <w:p>
            <w:pPr>
              <w:jc w:val="right"/>
            </w:pPr>
            <w:r/>
            <w:r>
              <w:rPr>
                <w:b/>
                <w:color w:val="0E7C7B"/>
                <w:sz w:val="21"/>
              </w:rPr>
              <w:t>18.96%</w:t>
            </w:r>
          </w:p>
        </w:tc>
      </w:tr>
      <w:tr>
        <w:tc>
          <w:tcPr>
            <w:tcW w:type="dxa" w:w="4608"/>
          </w:tcPr>
          <w:p>
            <w:r/>
            <w:r>
              <w:rPr>
                <w:sz w:val="21"/>
              </w:rPr>
              <w:t>No internet service</w:t>
            </w:r>
          </w:p>
        </w:tc>
        <w:tc>
          <w:tcPr>
            <w:tcW w:type="dxa" w:w="3168"/>
          </w:tcPr>
          <w:p>
            <w:pPr>
              <w:jc w:val="right"/>
            </w:pPr>
            <w:r/>
            <w:r>
              <w:rPr>
                <w:b/>
                <w:color w:val="0E7C7B"/>
                <w:sz w:val="21"/>
              </w:rPr>
              <w:t>7.40%</w:t>
            </w:r>
          </w:p>
        </w:tc>
      </w:tr>
    </w:tbl>
    <w:p/>
    <w:p>
      <w:r>
        <w:rPr>
          <w:b w:val="0"/>
          <w:i w:val="0"/>
          <w:sz w:val="22"/>
        </w:rPr>
        <w:t>Fiber optic customers had the highest churn rate at 41.89%, compared with 18.96% for DSL customers and 7.40% for customers without internet service.</w:t>
      </w:r>
    </w:p>
    <w:p>
      <w:pPr>
        <w:pStyle w:val="Heading3"/>
      </w:pPr>
      <w:r>
        <w:t>Business Interpretation</w:t>
      </w:r>
    </w:p>
    <w:p>
      <w:r>
        <w:rPr>
          <w:b w:val="0"/>
          <w:i w:val="0"/>
          <w:sz w:val="22"/>
        </w:rPr>
        <w:t>Internet service type shows a strong association with churn. The particularly high churn rate among fiber-optic customers suggests that this segment deserves further investigation. Possible areas for investigation include pricing, service quality, technical support, competition, or customer expectations. The analysis alone does not establish that fiber-optic service causes churn.</w:t>
      </w:r>
    </w:p>
    <w:p>
      <w:pPr>
        <w:pStyle w:val="Heading2"/>
      </w:pPr>
      <w:r>
        <w:t>5.6 Payment Method</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Payment Method</w:t>
            </w:r>
          </w:p>
        </w:tc>
        <w:tc>
          <w:tcPr>
            <w:tcW w:type="dxa" w:w="3168"/>
            <w:shd w:val="clear" w:fill="121F3D"/>
          </w:tcPr>
          <w:p>
            <w:pPr>
              <w:jc w:val="right"/>
            </w:pPr>
            <w:r/>
            <w:r>
              <w:rPr>
                <w:b/>
                <w:color w:val="FFFFFF"/>
                <w:sz w:val="21"/>
              </w:rPr>
              <w:t>Churn Rate</w:t>
            </w:r>
          </w:p>
        </w:tc>
      </w:tr>
      <w:tr>
        <w:tc>
          <w:tcPr>
            <w:tcW w:type="dxa" w:w="4608"/>
          </w:tcPr>
          <w:p>
            <w:r/>
            <w:r>
              <w:rPr>
                <w:sz w:val="21"/>
              </w:rPr>
              <w:t>Electronic check</w:t>
            </w:r>
          </w:p>
        </w:tc>
        <w:tc>
          <w:tcPr>
            <w:tcW w:type="dxa" w:w="3168"/>
          </w:tcPr>
          <w:p>
            <w:pPr>
              <w:jc w:val="right"/>
            </w:pPr>
            <w:r/>
            <w:r>
              <w:rPr>
                <w:b/>
                <w:color w:val="0E7C7B"/>
                <w:sz w:val="21"/>
              </w:rPr>
              <w:t>45.29%</w:t>
            </w:r>
          </w:p>
        </w:tc>
      </w:tr>
      <w:tr>
        <w:tc>
          <w:tcPr>
            <w:tcW w:type="dxa" w:w="4608"/>
            <w:shd w:val="clear" w:fill="F4F6FA"/>
          </w:tcPr>
          <w:p>
            <w:r/>
            <w:r>
              <w:rPr>
                <w:sz w:val="21"/>
              </w:rPr>
              <w:t>Mailed check</w:t>
            </w:r>
          </w:p>
        </w:tc>
        <w:tc>
          <w:tcPr>
            <w:tcW w:type="dxa" w:w="3168"/>
            <w:shd w:val="clear" w:fill="F4F6FA"/>
          </w:tcPr>
          <w:p>
            <w:pPr>
              <w:jc w:val="right"/>
            </w:pPr>
            <w:r/>
            <w:r>
              <w:rPr>
                <w:b/>
                <w:color w:val="0E7C7B"/>
                <w:sz w:val="21"/>
              </w:rPr>
              <w:t>19.11%</w:t>
            </w:r>
          </w:p>
        </w:tc>
      </w:tr>
      <w:tr>
        <w:tc>
          <w:tcPr>
            <w:tcW w:type="dxa" w:w="4608"/>
          </w:tcPr>
          <w:p>
            <w:r/>
            <w:r>
              <w:rPr>
                <w:sz w:val="21"/>
              </w:rPr>
              <w:t>Bank transfer (automatic)</w:t>
            </w:r>
          </w:p>
        </w:tc>
        <w:tc>
          <w:tcPr>
            <w:tcW w:type="dxa" w:w="3168"/>
          </w:tcPr>
          <w:p>
            <w:pPr>
              <w:jc w:val="right"/>
            </w:pPr>
            <w:r/>
            <w:r>
              <w:rPr>
                <w:b/>
                <w:color w:val="0E7C7B"/>
                <w:sz w:val="21"/>
              </w:rPr>
              <w:t>16.71%</w:t>
            </w:r>
          </w:p>
        </w:tc>
      </w:tr>
      <w:tr>
        <w:tc>
          <w:tcPr>
            <w:tcW w:type="dxa" w:w="4608"/>
            <w:shd w:val="clear" w:fill="F4F6FA"/>
          </w:tcPr>
          <w:p>
            <w:r/>
            <w:r>
              <w:rPr>
                <w:sz w:val="21"/>
              </w:rPr>
              <w:t>Credit card (automatic)</w:t>
            </w:r>
          </w:p>
        </w:tc>
        <w:tc>
          <w:tcPr>
            <w:tcW w:type="dxa" w:w="3168"/>
            <w:shd w:val="clear" w:fill="F4F6FA"/>
          </w:tcPr>
          <w:p>
            <w:pPr>
              <w:jc w:val="right"/>
            </w:pPr>
            <w:r/>
            <w:r>
              <w:rPr>
                <w:b/>
                <w:color w:val="0E7C7B"/>
                <w:sz w:val="21"/>
              </w:rPr>
              <w:t>15.24%</w:t>
            </w:r>
          </w:p>
        </w:tc>
      </w:tr>
    </w:tbl>
    <w:p/>
    <w:p>
      <w:r>
        <w:rPr>
          <w:b w:val="0"/>
          <w:i w:val="0"/>
          <w:sz w:val="22"/>
        </w:rPr>
        <w:t>Customers using electronic checks had the highest churn rate at 45.29%. Customers using automatic payment methods had considerably lower churn rates: credit card (automatic) at 15.24% and bank transfer (automatic) at 16.71%.</w:t>
      </w:r>
    </w:p>
    <w:p>
      <w:pPr>
        <w:pStyle w:val="Heading3"/>
      </w:pPr>
      <w:r>
        <w:t>Business Interpretation</w:t>
      </w:r>
    </w:p>
    <w:p>
      <w:r>
        <w:rPr>
          <w:b w:val="0"/>
          <w:i w:val="0"/>
          <w:sz w:val="22"/>
        </w:rPr>
        <w:t>Payment method is strongly associated with churn. The company should investigate whether customers using electronic checks experience different payment experiences, billing friction, or customer-service interactions.</w:t>
      </w:r>
    </w:p>
    <w:p>
      <w:pPr>
        <w:pStyle w:val="Heading1"/>
      </w:pPr>
      <w:r>
        <w:t>6. Additional Customer and Service Factors</w:t>
      </w:r>
    </w:p>
    <w:p>
      <w:r>
        <w:rPr>
          <w:b w:val="0"/>
          <w:i w:val="0"/>
          <w:sz w:val="22"/>
        </w:rPr>
        <w:t>Several additional variables also showed meaningful differences in churn rates.</w:t>
      </w:r>
    </w:p>
    <w:p>
      <w:pPr>
        <w:pStyle w:val="Heading3"/>
      </w:pPr>
      <w:r>
        <w:t>Senior Citizen</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Senior citizens</w:t>
            </w:r>
          </w:p>
        </w:tc>
        <w:tc>
          <w:tcPr>
            <w:tcW w:type="dxa" w:w="3168"/>
          </w:tcPr>
          <w:p>
            <w:pPr>
              <w:jc w:val="right"/>
            </w:pPr>
            <w:r/>
            <w:r>
              <w:rPr>
                <w:b/>
                <w:color w:val="0E7C7B"/>
                <w:sz w:val="21"/>
              </w:rPr>
              <w:t>41.68%</w:t>
            </w:r>
          </w:p>
        </w:tc>
      </w:tr>
      <w:tr>
        <w:tc>
          <w:tcPr>
            <w:tcW w:type="dxa" w:w="4608"/>
            <w:shd w:val="clear" w:fill="F4F6FA"/>
          </w:tcPr>
          <w:p>
            <w:r/>
            <w:r>
              <w:rPr>
                <w:sz w:val="21"/>
              </w:rPr>
              <w:t>Non-senior citizens</w:t>
            </w:r>
          </w:p>
        </w:tc>
        <w:tc>
          <w:tcPr>
            <w:tcW w:type="dxa" w:w="3168"/>
            <w:shd w:val="clear" w:fill="F4F6FA"/>
          </w:tcPr>
          <w:p>
            <w:pPr>
              <w:jc w:val="right"/>
            </w:pPr>
            <w:r/>
            <w:r>
              <w:rPr>
                <w:b/>
                <w:color w:val="0E7C7B"/>
                <w:sz w:val="21"/>
              </w:rPr>
              <w:t>23.61%</w:t>
            </w:r>
          </w:p>
        </w:tc>
      </w:tr>
    </w:tbl>
    <w:p/>
    <w:p>
      <w:pPr>
        <w:pStyle w:val="Heading3"/>
      </w:pPr>
      <w:r>
        <w:t>Partner</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 partner</w:t>
            </w:r>
          </w:p>
        </w:tc>
        <w:tc>
          <w:tcPr>
            <w:tcW w:type="dxa" w:w="3168"/>
          </w:tcPr>
          <w:p>
            <w:pPr>
              <w:jc w:val="right"/>
            </w:pPr>
            <w:r/>
            <w:r>
              <w:rPr>
                <w:b/>
                <w:color w:val="0E7C7B"/>
                <w:sz w:val="21"/>
              </w:rPr>
              <w:t>32.96%</w:t>
            </w:r>
          </w:p>
        </w:tc>
      </w:tr>
      <w:tr>
        <w:tc>
          <w:tcPr>
            <w:tcW w:type="dxa" w:w="4608"/>
            <w:shd w:val="clear" w:fill="F4F6FA"/>
          </w:tcPr>
          <w:p>
            <w:r/>
            <w:r>
              <w:rPr>
                <w:sz w:val="21"/>
              </w:rPr>
              <w:t>Has partner</w:t>
            </w:r>
          </w:p>
        </w:tc>
        <w:tc>
          <w:tcPr>
            <w:tcW w:type="dxa" w:w="3168"/>
            <w:shd w:val="clear" w:fill="F4F6FA"/>
          </w:tcPr>
          <w:p>
            <w:pPr>
              <w:jc w:val="right"/>
            </w:pPr>
            <w:r/>
            <w:r>
              <w:rPr>
                <w:b/>
                <w:color w:val="0E7C7B"/>
                <w:sz w:val="21"/>
              </w:rPr>
              <w:t>19.66%</w:t>
            </w:r>
          </w:p>
        </w:tc>
      </w:tr>
    </w:tbl>
    <w:p/>
    <w:p>
      <w:pPr>
        <w:pStyle w:val="Heading3"/>
      </w:pPr>
      <w:r>
        <w:t>Dependents</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 dependents</w:t>
            </w:r>
          </w:p>
        </w:tc>
        <w:tc>
          <w:tcPr>
            <w:tcW w:type="dxa" w:w="3168"/>
          </w:tcPr>
          <w:p>
            <w:pPr>
              <w:jc w:val="right"/>
            </w:pPr>
            <w:r/>
            <w:r>
              <w:rPr>
                <w:b/>
                <w:color w:val="0E7C7B"/>
                <w:sz w:val="21"/>
              </w:rPr>
              <w:t>31.28%</w:t>
            </w:r>
          </w:p>
        </w:tc>
      </w:tr>
      <w:tr>
        <w:tc>
          <w:tcPr>
            <w:tcW w:type="dxa" w:w="4608"/>
            <w:shd w:val="clear" w:fill="F4F6FA"/>
          </w:tcPr>
          <w:p>
            <w:r/>
            <w:r>
              <w:rPr>
                <w:sz w:val="21"/>
              </w:rPr>
              <w:t>Has dependents</w:t>
            </w:r>
          </w:p>
        </w:tc>
        <w:tc>
          <w:tcPr>
            <w:tcW w:type="dxa" w:w="3168"/>
            <w:shd w:val="clear" w:fill="F4F6FA"/>
          </w:tcPr>
          <w:p>
            <w:pPr>
              <w:jc w:val="right"/>
            </w:pPr>
            <w:r/>
            <w:r>
              <w:rPr>
                <w:b/>
                <w:color w:val="0E7C7B"/>
                <w:sz w:val="21"/>
              </w:rPr>
              <w:t>15.45%</w:t>
            </w:r>
          </w:p>
        </w:tc>
      </w:tr>
    </w:tbl>
    <w:p/>
    <w:p>
      <w:pPr>
        <w:pStyle w:val="Heading3"/>
      </w:pPr>
      <w:r>
        <w:t>Online Security</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w:t>
            </w:r>
          </w:p>
        </w:tc>
        <w:tc>
          <w:tcPr>
            <w:tcW w:type="dxa" w:w="3168"/>
          </w:tcPr>
          <w:p>
            <w:pPr>
              <w:jc w:val="right"/>
            </w:pPr>
            <w:r/>
            <w:r>
              <w:rPr>
                <w:b/>
                <w:color w:val="0E7C7B"/>
                <w:sz w:val="21"/>
              </w:rPr>
              <w:t>41.77%</w:t>
            </w:r>
          </w:p>
        </w:tc>
      </w:tr>
      <w:tr>
        <w:tc>
          <w:tcPr>
            <w:tcW w:type="dxa" w:w="4608"/>
            <w:shd w:val="clear" w:fill="F4F6FA"/>
          </w:tcPr>
          <w:p>
            <w:r/>
            <w:r>
              <w:rPr>
                <w:sz w:val="21"/>
              </w:rPr>
              <w:t>Yes</w:t>
            </w:r>
          </w:p>
        </w:tc>
        <w:tc>
          <w:tcPr>
            <w:tcW w:type="dxa" w:w="3168"/>
            <w:shd w:val="clear" w:fill="F4F6FA"/>
          </w:tcPr>
          <w:p>
            <w:pPr>
              <w:jc w:val="right"/>
            </w:pPr>
            <w:r/>
            <w:r>
              <w:rPr>
                <w:b/>
                <w:color w:val="0E7C7B"/>
                <w:sz w:val="21"/>
              </w:rPr>
              <w:t>14.61%</w:t>
            </w:r>
          </w:p>
        </w:tc>
      </w:tr>
      <w:tr>
        <w:tc>
          <w:tcPr>
            <w:tcW w:type="dxa" w:w="4608"/>
          </w:tcPr>
          <w:p>
            <w:r/>
            <w:r>
              <w:rPr>
                <w:sz w:val="21"/>
              </w:rPr>
              <w:t>No internet service</w:t>
            </w:r>
          </w:p>
        </w:tc>
        <w:tc>
          <w:tcPr>
            <w:tcW w:type="dxa" w:w="3168"/>
          </w:tcPr>
          <w:p>
            <w:pPr>
              <w:jc w:val="right"/>
            </w:pPr>
            <w:r/>
            <w:r>
              <w:rPr>
                <w:b/>
                <w:color w:val="0E7C7B"/>
                <w:sz w:val="21"/>
              </w:rPr>
              <w:t>7.40%</w:t>
            </w:r>
          </w:p>
        </w:tc>
      </w:tr>
    </w:tbl>
    <w:p/>
    <w:p>
      <w:pPr>
        <w:pStyle w:val="Heading3"/>
      </w:pPr>
      <w:r>
        <w:t>Online Backup</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w:t>
            </w:r>
          </w:p>
        </w:tc>
        <w:tc>
          <w:tcPr>
            <w:tcW w:type="dxa" w:w="3168"/>
          </w:tcPr>
          <w:p>
            <w:pPr>
              <w:jc w:val="right"/>
            </w:pPr>
            <w:r/>
            <w:r>
              <w:rPr>
                <w:b/>
                <w:color w:val="0E7C7B"/>
                <w:sz w:val="21"/>
              </w:rPr>
              <w:t>39.93%</w:t>
            </w:r>
          </w:p>
        </w:tc>
      </w:tr>
      <w:tr>
        <w:tc>
          <w:tcPr>
            <w:tcW w:type="dxa" w:w="4608"/>
            <w:shd w:val="clear" w:fill="F4F6FA"/>
          </w:tcPr>
          <w:p>
            <w:r/>
            <w:r>
              <w:rPr>
                <w:sz w:val="21"/>
              </w:rPr>
              <w:t>Yes</w:t>
            </w:r>
          </w:p>
        </w:tc>
        <w:tc>
          <w:tcPr>
            <w:tcW w:type="dxa" w:w="3168"/>
            <w:shd w:val="clear" w:fill="F4F6FA"/>
          </w:tcPr>
          <w:p>
            <w:pPr>
              <w:jc w:val="right"/>
            </w:pPr>
            <w:r/>
            <w:r>
              <w:rPr>
                <w:b/>
                <w:color w:val="0E7C7B"/>
                <w:sz w:val="21"/>
              </w:rPr>
              <w:t>21.53%</w:t>
            </w:r>
          </w:p>
        </w:tc>
      </w:tr>
      <w:tr>
        <w:tc>
          <w:tcPr>
            <w:tcW w:type="dxa" w:w="4608"/>
          </w:tcPr>
          <w:p>
            <w:r/>
            <w:r>
              <w:rPr>
                <w:sz w:val="21"/>
              </w:rPr>
              <w:t>No internet service</w:t>
            </w:r>
          </w:p>
        </w:tc>
        <w:tc>
          <w:tcPr>
            <w:tcW w:type="dxa" w:w="3168"/>
          </w:tcPr>
          <w:p>
            <w:pPr>
              <w:jc w:val="right"/>
            </w:pPr>
            <w:r/>
            <w:r>
              <w:rPr>
                <w:b/>
                <w:color w:val="0E7C7B"/>
                <w:sz w:val="21"/>
              </w:rPr>
              <w:t>7.40%</w:t>
            </w:r>
          </w:p>
        </w:tc>
      </w:tr>
    </w:tbl>
    <w:p/>
    <w:p>
      <w:pPr>
        <w:pStyle w:val="Heading3"/>
      </w:pPr>
      <w:r>
        <w:t>Device Protection</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w:t>
            </w:r>
          </w:p>
        </w:tc>
        <w:tc>
          <w:tcPr>
            <w:tcW w:type="dxa" w:w="3168"/>
          </w:tcPr>
          <w:p>
            <w:pPr>
              <w:jc w:val="right"/>
            </w:pPr>
            <w:r/>
            <w:r>
              <w:rPr>
                <w:b/>
                <w:color w:val="0E7C7B"/>
                <w:sz w:val="21"/>
              </w:rPr>
              <w:t>39.13%</w:t>
            </w:r>
          </w:p>
        </w:tc>
      </w:tr>
      <w:tr>
        <w:tc>
          <w:tcPr>
            <w:tcW w:type="dxa" w:w="4608"/>
            <w:shd w:val="clear" w:fill="F4F6FA"/>
          </w:tcPr>
          <w:p>
            <w:r/>
            <w:r>
              <w:rPr>
                <w:sz w:val="21"/>
              </w:rPr>
              <w:t>Yes</w:t>
            </w:r>
          </w:p>
        </w:tc>
        <w:tc>
          <w:tcPr>
            <w:tcW w:type="dxa" w:w="3168"/>
            <w:shd w:val="clear" w:fill="F4F6FA"/>
          </w:tcPr>
          <w:p>
            <w:pPr>
              <w:jc w:val="right"/>
            </w:pPr>
            <w:r/>
            <w:r>
              <w:rPr>
                <w:b/>
                <w:color w:val="0E7C7B"/>
                <w:sz w:val="21"/>
              </w:rPr>
              <w:t>22.50%</w:t>
            </w:r>
          </w:p>
        </w:tc>
      </w:tr>
      <w:tr>
        <w:tc>
          <w:tcPr>
            <w:tcW w:type="dxa" w:w="4608"/>
          </w:tcPr>
          <w:p>
            <w:r/>
            <w:r>
              <w:rPr>
                <w:sz w:val="21"/>
              </w:rPr>
              <w:t>No internet service</w:t>
            </w:r>
          </w:p>
        </w:tc>
        <w:tc>
          <w:tcPr>
            <w:tcW w:type="dxa" w:w="3168"/>
          </w:tcPr>
          <w:p>
            <w:pPr>
              <w:jc w:val="right"/>
            </w:pPr>
            <w:r/>
            <w:r>
              <w:rPr>
                <w:b/>
                <w:color w:val="0E7C7B"/>
                <w:sz w:val="21"/>
              </w:rPr>
              <w:t>7.40%</w:t>
            </w:r>
          </w:p>
        </w:tc>
      </w:tr>
    </w:tbl>
    <w:p/>
    <w:p>
      <w:pPr>
        <w:pStyle w:val="Heading3"/>
      </w:pPr>
      <w:r>
        <w:t>Tech Support</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Group</w:t>
            </w:r>
          </w:p>
        </w:tc>
        <w:tc>
          <w:tcPr>
            <w:tcW w:type="dxa" w:w="3168"/>
            <w:shd w:val="clear" w:fill="121F3D"/>
          </w:tcPr>
          <w:p>
            <w:pPr>
              <w:jc w:val="right"/>
            </w:pPr>
            <w:r/>
            <w:r>
              <w:rPr>
                <w:b/>
                <w:color w:val="FFFFFF"/>
                <w:sz w:val="21"/>
              </w:rPr>
              <w:t>Churn Rate</w:t>
            </w:r>
          </w:p>
        </w:tc>
      </w:tr>
      <w:tr>
        <w:tc>
          <w:tcPr>
            <w:tcW w:type="dxa" w:w="4608"/>
          </w:tcPr>
          <w:p>
            <w:r/>
            <w:r>
              <w:rPr>
                <w:sz w:val="21"/>
              </w:rPr>
              <w:t>No</w:t>
            </w:r>
          </w:p>
        </w:tc>
        <w:tc>
          <w:tcPr>
            <w:tcW w:type="dxa" w:w="3168"/>
          </w:tcPr>
          <w:p>
            <w:pPr>
              <w:jc w:val="right"/>
            </w:pPr>
            <w:r/>
            <w:r>
              <w:rPr>
                <w:b/>
                <w:color w:val="0E7C7B"/>
                <w:sz w:val="21"/>
              </w:rPr>
              <w:t>41.64%</w:t>
            </w:r>
          </w:p>
        </w:tc>
      </w:tr>
      <w:tr>
        <w:tc>
          <w:tcPr>
            <w:tcW w:type="dxa" w:w="4608"/>
            <w:shd w:val="clear" w:fill="F4F6FA"/>
          </w:tcPr>
          <w:p>
            <w:r/>
            <w:r>
              <w:rPr>
                <w:sz w:val="21"/>
              </w:rPr>
              <w:t>Yes</w:t>
            </w:r>
          </w:p>
        </w:tc>
        <w:tc>
          <w:tcPr>
            <w:tcW w:type="dxa" w:w="3168"/>
            <w:shd w:val="clear" w:fill="F4F6FA"/>
          </w:tcPr>
          <w:p>
            <w:pPr>
              <w:jc w:val="right"/>
            </w:pPr>
            <w:r/>
            <w:r>
              <w:rPr>
                <w:b/>
                <w:color w:val="0E7C7B"/>
                <w:sz w:val="21"/>
              </w:rPr>
              <w:t>15.17%</w:t>
            </w:r>
          </w:p>
        </w:tc>
      </w:tr>
      <w:tr>
        <w:tc>
          <w:tcPr>
            <w:tcW w:type="dxa" w:w="4608"/>
          </w:tcPr>
          <w:p>
            <w:r/>
            <w:r>
              <w:rPr>
                <w:sz w:val="21"/>
              </w:rPr>
              <w:t>No internet service</w:t>
            </w:r>
          </w:p>
        </w:tc>
        <w:tc>
          <w:tcPr>
            <w:tcW w:type="dxa" w:w="3168"/>
          </w:tcPr>
          <w:p>
            <w:pPr>
              <w:jc w:val="right"/>
            </w:pPr>
            <w:r/>
            <w:r>
              <w:rPr>
                <w:b/>
                <w:color w:val="0E7C7B"/>
                <w:sz w:val="21"/>
              </w:rPr>
              <w:t>7.40%</w:t>
            </w:r>
          </w:p>
        </w:tc>
      </w:tr>
    </w:tbl>
    <w:p/>
    <w:p>
      <w:r>
        <w:rPr>
          <w:b w:val="0"/>
          <w:i w:val="0"/>
          <w:sz w:val="22"/>
        </w:rPr>
        <w:t>These variables show additional associations with churn. However, the strongest focus of the analysis remains on tenure, contract type, monthly charges, internet service, and payment method.</w:t>
      </w:r>
    </w:p>
    <w:p>
      <w:pPr>
        <w:pStyle w:val="Heading1"/>
      </w:pPr>
      <w:r>
        <w:t>7. Correlation Analysis</w:t>
      </w:r>
    </w:p>
    <w:p>
      <w:r>
        <w:rPr>
          <w:b w:val="0"/>
          <w:i w:val="0"/>
          <w:sz w:val="22"/>
        </w:rPr>
        <w:t>Correlation analysis was performed on the numerical variables after converting the Churn variable into a numerical format.</w:t>
      </w:r>
    </w:p>
    <w:tbl>
      <w:tblPr>
        <w:tblStyle w:val="TableGrid"/>
        <w:tblW w:type="auto" w:w="0"/>
        <w:jc w:val="center"/>
        <w:tblLook w:firstColumn="1" w:firstRow="1" w:lastColumn="0" w:lastRow="0" w:noHBand="0" w:noVBand="1" w:val="04A0"/>
      </w:tblPr>
      <w:tblGrid>
        <w:gridCol w:w="4680"/>
        <w:gridCol w:w="4680"/>
      </w:tblGrid>
      <w:tr>
        <w:tc>
          <w:tcPr>
            <w:tcW w:type="dxa" w:w="4608"/>
            <w:shd w:val="clear" w:fill="121F3D"/>
          </w:tcPr>
          <w:p>
            <w:r/>
            <w:r>
              <w:rPr>
                <w:b/>
                <w:color w:val="FFFFFF"/>
                <w:sz w:val="21"/>
              </w:rPr>
              <w:t>Variable</w:t>
            </w:r>
          </w:p>
        </w:tc>
        <w:tc>
          <w:tcPr>
            <w:tcW w:type="dxa" w:w="3456"/>
            <w:shd w:val="clear" w:fill="121F3D"/>
          </w:tcPr>
          <w:p>
            <w:pPr>
              <w:jc w:val="right"/>
            </w:pPr>
            <w:r/>
            <w:r>
              <w:rPr>
                <w:b/>
                <w:color w:val="FFFFFF"/>
                <w:sz w:val="21"/>
              </w:rPr>
              <w:t>Correlation with Churn</w:t>
            </w:r>
          </w:p>
        </w:tc>
      </w:tr>
      <w:tr>
        <w:tc>
          <w:tcPr>
            <w:tcW w:type="dxa" w:w="4608"/>
          </w:tcPr>
          <w:p>
            <w:r/>
            <w:r>
              <w:rPr>
                <w:sz w:val="21"/>
              </w:rPr>
              <w:t>Tenure</w:t>
            </w:r>
          </w:p>
        </w:tc>
        <w:tc>
          <w:tcPr>
            <w:tcW w:type="dxa" w:w="3456"/>
          </w:tcPr>
          <w:p>
            <w:pPr>
              <w:jc w:val="right"/>
            </w:pPr>
            <w:r/>
            <w:r>
              <w:rPr>
                <w:b/>
                <w:color w:val="0E7C7B"/>
                <w:sz w:val="21"/>
              </w:rPr>
              <w:t>-0.352</w:t>
            </w:r>
          </w:p>
        </w:tc>
      </w:tr>
      <w:tr>
        <w:tc>
          <w:tcPr>
            <w:tcW w:type="dxa" w:w="4608"/>
            <w:shd w:val="clear" w:fill="F4F6FA"/>
          </w:tcPr>
          <w:p>
            <w:r/>
            <w:r>
              <w:rPr>
                <w:sz w:val="21"/>
              </w:rPr>
              <w:t>Total Charges</w:t>
            </w:r>
          </w:p>
        </w:tc>
        <w:tc>
          <w:tcPr>
            <w:tcW w:type="dxa" w:w="3456"/>
            <w:shd w:val="clear" w:fill="F4F6FA"/>
          </w:tcPr>
          <w:p>
            <w:pPr>
              <w:jc w:val="right"/>
            </w:pPr>
            <w:r/>
            <w:r>
              <w:rPr>
                <w:b/>
                <w:color w:val="0E7C7B"/>
                <w:sz w:val="21"/>
              </w:rPr>
              <w:t>-0.199</w:t>
            </w:r>
          </w:p>
        </w:tc>
      </w:tr>
      <w:tr>
        <w:tc>
          <w:tcPr>
            <w:tcW w:type="dxa" w:w="4608"/>
          </w:tcPr>
          <w:p>
            <w:r/>
            <w:r>
              <w:rPr>
                <w:sz w:val="21"/>
              </w:rPr>
              <w:t>Monthly Charges</w:t>
            </w:r>
          </w:p>
        </w:tc>
        <w:tc>
          <w:tcPr>
            <w:tcW w:type="dxa" w:w="3456"/>
          </w:tcPr>
          <w:p>
            <w:pPr>
              <w:jc w:val="right"/>
            </w:pPr>
            <w:r/>
            <w:r>
              <w:rPr>
                <w:b/>
                <w:color w:val="0E7C7B"/>
                <w:sz w:val="21"/>
              </w:rPr>
              <w:t>0.193</w:t>
            </w:r>
          </w:p>
        </w:tc>
      </w:tr>
      <w:tr>
        <w:tc>
          <w:tcPr>
            <w:tcW w:type="dxa" w:w="4608"/>
            <w:shd w:val="clear" w:fill="F4F6FA"/>
          </w:tcPr>
          <w:p>
            <w:r/>
            <w:r>
              <w:rPr>
                <w:sz w:val="21"/>
              </w:rPr>
              <w:t>Senior Citizen</w:t>
            </w:r>
          </w:p>
        </w:tc>
        <w:tc>
          <w:tcPr>
            <w:tcW w:type="dxa" w:w="3456"/>
            <w:shd w:val="clear" w:fill="F4F6FA"/>
          </w:tcPr>
          <w:p>
            <w:pPr>
              <w:jc w:val="right"/>
            </w:pPr>
            <w:r/>
            <w:r>
              <w:rPr>
                <w:b/>
                <w:color w:val="0E7C7B"/>
                <w:sz w:val="21"/>
              </w:rPr>
              <w:t>0.151</w:t>
            </w:r>
          </w:p>
        </w:tc>
      </w:tr>
    </w:tbl>
    <w:p/>
    <w:p>
      <w:r>
        <w:rPr>
          <w:b w:val="0"/>
          <w:i w:val="0"/>
          <w:sz w:val="22"/>
        </w:rPr>
        <w:t>Tenure had the strongest numerical relationship with churn, with a correlation of -0.352. This supports the earlier finding that customers with shorter tenure are more likely to churn. Monthly charges had a positive correlation of 0.193, while senior-citizen status had a positive correlation of 0.151. Total charges had a negative correlation of -0.199, which is likely influenced partly by the relationship between total charges and customer tenure.</w:t>
      </w:r>
    </w:p>
    <w:p>
      <w:r>
        <w:rPr>
          <w:b/>
          <w:i/>
          <w:color w:val="121F3D"/>
          <w:sz w:val="22"/>
        </w:rPr>
        <w:t>Important Limitation: correlation indicates association, not causation. These results should be interpreted as relationships in the dataset rather than proof that a particular factor directly causes customers to leave.</w:t>
      </w:r>
    </w:p>
    <w:p>
      <w:pPr>
        <w:pStyle w:val="Heading1"/>
      </w:pPr>
      <w:r>
        <w:t>8. Business Insights</w:t>
      </w:r>
    </w:p>
    <w:p>
      <w:pPr>
        <w:pStyle w:val="Heading2"/>
      </w:pPr>
      <w:r>
        <w:t>8.1 Early-Stage Customers Represent a Major Retention Risk</w:t>
      </w:r>
    </w:p>
    <w:p>
      <w:r>
        <w:rPr>
          <w:b w:val="0"/>
          <w:i w:val="0"/>
          <w:sz w:val="22"/>
        </w:rPr>
        <w:t>Customers with 0–12 months of tenure had a 47.44% churn rate, compared with 9.51% among customers with 49–72 months of tenure. This suggests that the early customer journey should receive significant attention.</w:t>
      </w:r>
    </w:p>
    <w:p>
      <w:pPr>
        <w:pStyle w:val="Heading2"/>
      </w:pPr>
      <w:r>
        <w:t>8.2 Month-to-Month Customers Are a High-Risk Segment</w:t>
      </w:r>
    </w:p>
    <w:p>
      <w:r>
        <w:rPr>
          <w:b w:val="0"/>
          <w:i w:val="0"/>
          <w:sz w:val="22"/>
        </w:rPr>
        <w:t>Month-to-month customers had a 42.71% churn rate, substantially higher than customers on one-year and two-year contracts. This segment could be prioritized for retention campaigns and contract-upgrade strategies.</w:t>
      </w:r>
    </w:p>
    <w:p>
      <w:pPr>
        <w:pStyle w:val="Heading2"/>
      </w:pPr>
      <w:r>
        <w:t>8.3 Higher Monthly Charges Are Associated With Churn</w:t>
      </w:r>
    </w:p>
    <w:p>
      <w:r>
        <w:rPr>
          <w:b w:val="0"/>
          <w:i w:val="0"/>
          <w:sz w:val="22"/>
        </w:rPr>
        <w:t>Churned customers had an average monthly charge of 74.44, compared with 61.27 among retained customers. This suggests that pricing and perceived value may deserve further investigation.</w:t>
      </w:r>
    </w:p>
    <w:p>
      <w:pPr>
        <w:pStyle w:val="Heading2"/>
      </w:pPr>
      <w:r>
        <w:t>8.4 Fiber-Optic Customers Require Investigation</w:t>
      </w:r>
    </w:p>
    <w:p>
      <w:r>
        <w:rPr>
          <w:b w:val="0"/>
          <w:i w:val="0"/>
          <w:sz w:val="22"/>
        </w:rPr>
        <w:t>Fiber-optic customers had a 41.89% churn rate, considerably higher than DSL customers. The company should investigate the reasons behind this pattern before designing targeted interventions.</w:t>
      </w:r>
    </w:p>
    <w:p>
      <w:pPr>
        <w:pStyle w:val="Heading2"/>
      </w:pPr>
      <w:r>
        <w:t>8.5 Electronic-Check Users Show High Churn</w:t>
      </w:r>
    </w:p>
    <w:p>
      <w:r>
        <w:rPr>
          <w:b w:val="0"/>
          <w:i w:val="0"/>
          <w:sz w:val="22"/>
        </w:rPr>
        <w:t>Electronic-check customers had a 45.29% churn rate, the highest among the payment methods analyzed. This segment may benefit from investigation into billing experience and alternative payment options.</w:t>
      </w:r>
    </w:p>
    <w:p>
      <w:pPr>
        <w:pStyle w:val="Heading1"/>
      </w:pPr>
      <w:r>
        <w:t>9. Recommendations</w:t>
      </w:r>
    </w:p>
    <w:p>
      <w:pPr>
        <w:pStyle w:val="Heading2"/>
      </w:pPr>
      <w:r>
        <w:t>Recommendation 1: Develop an Early-Stage Customer Retention Program</w:t>
      </w:r>
    </w:p>
    <w:p>
      <w:r>
        <w:rPr>
          <w:b w:val="0"/>
          <w:i w:val="0"/>
          <w:sz w:val="22"/>
        </w:rPr>
        <w:t>Because customers in their first 12 months had a 47.44% churn rate, the company should create a structured onboarding and retention program. This could include:</w:t>
      </w:r>
    </w:p>
    <w:p>
      <w:pPr>
        <w:pStyle w:val="ListBullet"/>
      </w:pPr>
      <w:r>
        <w:t>Welcome and onboarding communication</w:t>
      </w:r>
    </w:p>
    <w:p>
      <w:pPr>
        <w:pStyle w:val="ListBullet"/>
      </w:pPr>
      <w:r>
        <w:t>Early customer satisfaction checks</w:t>
      </w:r>
    </w:p>
    <w:p>
      <w:pPr>
        <w:pStyle w:val="ListBullet"/>
      </w:pPr>
      <w:r>
        <w:t>Technical support follow-ups</w:t>
      </w:r>
    </w:p>
    <w:p>
      <w:pPr>
        <w:pStyle w:val="ListBullet"/>
      </w:pPr>
      <w:r>
        <w:t>First-year loyalty incentives</w:t>
      </w:r>
    </w:p>
    <w:p>
      <w:pPr>
        <w:pStyle w:val="ListBullet"/>
      </w:pPr>
      <w:r>
        <w:t>Proactive identification of customer issues</w:t>
      </w:r>
    </w:p>
    <w:p>
      <w:r>
        <w:rPr>
          <w:b w:val="0"/>
          <w:i/>
          <w:color w:val="5A6472"/>
          <w:sz w:val="22"/>
        </w:rPr>
      </w:r>
    </w:p>
    <w:p>
      <w:pPr>
        <w:pStyle w:val="Heading2"/>
      </w:pPr>
      <w:r>
        <w:t>Recommendation 2: Target Month-to-Month Customers</w:t>
      </w:r>
    </w:p>
    <w:p>
      <w:r>
        <w:rPr>
          <w:b w:val="0"/>
          <w:i w:val="0"/>
          <w:sz w:val="22"/>
        </w:rPr>
        <w:t>Month-to-month customers should be considered a priority retention segment. The company could:</w:t>
      </w:r>
    </w:p>
    <w:p>
      <w:pPr>
        <w:pStyle w:val="ListBullet"/>
      </w:pPr>
      <w:r>
        <w:t>Offer incentives for longer-term contracts</w:t>
      </w:r>
    </w:p>
    <w:p>
      <w:pPr>
        <w:pStyle w:val="ListBullet"/>
      </w:pPr>
      <w:r>
        <w:t>Provide personalized plan recommendations</w:t>
      </w:r>
    </w:p>
    <w:p>
      <w:pPr>
        <w:pStyle w:val="ListBullet"/>
      </w:pPr>
      <w:r>
        <w:t>Identify customers showing signs of dissatisfaction</w:t>
      </w:r>
    </w:p>
    <w:p>
      <w:pPr>
        <w:pStyle w:val="ListBullet"/>
      </w:pPr>
      <w:r>
        <w:t>Communicate the value of longer-term plans</w:t>
      </w:r>
    </w:p>
    <w:p>
      <w:r>
        <w:rPr>
          <w:b w:val="0"/>
          <w:i/>
          <w:color w:val="5A6472"/>
          <w:sz w:val="22"/>
        </w:rPr>
      </w:r>
    </w:p>
    <w:p>
      <w:pPr>
        <w:pStyle w:val="Heading2"/>
      </w:pPr>
      <w:r>
        <w:t>Recommendation 3: Investigate the Fiber-Optic Customer Segment</w:t>
      </w:r>
    </w:p>
    <w:p>
      <w:r>
        <w:rPr>
          <w:b w:val="0"/>
          <w:i w:val="0"/>
          <w:sz w:val="22"/>
        </w:rPr>
        <w:t>Since fiber-optic customers had a 41.89% churn rate, the company should investigate this segment in more detail. The investigation could examine:</w:t>
      </w:r>
    </w:p>
    <w:p>
      <w:pPr>
        <w:pStyle w:val="ListBullet"/>
      </w:pPr>
      <w:r>
        <w:t>Pricing</w:t>
      </w:r>
    </w:p>
    <w:p>
      <w:pPr>
        <w:pStyle w:val="ListBullet"/>
      </w:pPr>
      <w:r>
        <w:t>Service reliability</w:t>
      </w:r>
    </w:p>
    <w:p>
      <w:pPr>
        <w:pStyle w:val="ListBullet"/>
      </w:pPr>
      <w:r>
        <w:t>Technical support</w:t>
      </w:r>
    </w:p>
    <w:p>
      <w:pPr>
        <w:pStyle w:val="ListBullet"/>
      </w:pPr>
      <w:r>
        <w:t>Customer complaints</w:t>
      </w:r>
    </w:p>
    <w:p>
      <w:pPr>
        <w:pStyle w:val="ListBullet"/>
      </w:pPr>
      <w:r>
        <w:t>Competitor offers</w:t>
      </w:r>
    </w:p>
    <w:p>
      <w:pPr>
        <w:pStyle w:val="ListBullet"/>
      </w:pPr>
      <w:r>
        <w:t>Plan value</w:t>
      </w:r>
    </w:p>
    <w:p>
      <w:r>
        <w:rPr>
          <w:b w:val="0"/>
          <w:i/>
          <w:color w:val="5A6472"/>
          <w:sz w:val="22"/>
        </w:rPr>
      </w:r>
    </w:p>
    <w:p>
      <w:pPr>
        <w:pStyle w:val="Heading2"/>
      </w:pPr>
      <w:r>
        <w:t>Recommendation 4: Investigate Electronic-Check Customers</w:t>
      </w:r>
    </w:p>
    <w:p>
      <w:r>
        <w:rPr>
          <w:b w:val="0"/>
          <w:i w:val="0"/>
          <w:sz w:val="22"/>
        </w:rPr>
        <w:t>Customers using electronic checks had a 45.29% churn rate. The company should investigate whether payment-related friction contributes to the observed pattern and consider encouraging customers to use automatic payment methods where appropriate.</w:t>
      </w:r>
    </w:p>
    <w:p>
      <w:r>
        <w:rPr>
          <w:b w:val="0"/>
          <w:i/>
          <w:color w:val="5A6472"/>
          <w:sz w:val="22"/>
        </w:rPr>
      </w:r>
    </w:p>
    <w:p>
      <w:pPr>
        <w:pStyle w:val="Heading2"/>
      </w:pPr>
      <w:r>
        <w:t>Recommendation 5: Build a Churn-Risk Monitoring System</w:t>
      </w:r>
    </w:p>
    <w:p>
      <w:r>
        <w:rPr>
          <w:b w:val="0"/>
          <w:i w:val="0"/>
          <w:sz w:val="22"/>
        </w:rPr>
        <w:t>The company could develop a customer churn monitoring system that combines:</w:t>
      </w:r>
    </w:p>
    <w:p>
      <w:pPr>
        <w:pStyle w:val="ListBullet"/>
      </w:pPr>
      <w:r>
        <w:t>Customer tenure</w:t>
      </w:r>
    </w:p>
    <w:p>
      <w:pPr>
        <w:pStyle w:val="ListBullet"/>
      </w:pPr>
      <w:r>
        <w:t>Contract type</w:t>
      </w:r>
    </w:p>
    <w:p>
      <w:pPr>
        <w:pStyle w:val="ListBullet"/>
      </w:pPr>
      <w:r>
        <w:t>Monthly charges</w:t>
      </w:r>
    </w:p>
    <w:p>
      <w:pPr>
        <w:pStyle w:val="ListBullet"/>
      </w:pPr>
      <w:r>
        <w:t>Internet service</w:t>
      </w:r>
    </w:p>
    <w:p>
      <w:pPr>
        <w:pStyle w:val="ListBullet"/>
      </w:pPr>
      <w:r>
        <w:t>Payment method</w:t>
      </w:r>
    </w:p>
    <w:p>
      <w:pPr>
        <w:pStyle w:val="ListBullet"/>
      </w:pPr>
      <w:r>
        <w:t>Support and service indicators</w:t>
      </w:r>
    </w:p>
    <w:p>
      <w:r>
        <w:rPr>
          <w:b w:val="0"/>
          <w:i/>
          <w:color w:val="5A6472"/>
          <w:sz w:val="22"/>
        </w:rPr>
        <w:t>This could help the business identify high-risk customer segments and prioritize retention activities.</w:t>
      </w:r>
    </w:p>
    <w:p>
      <w:pPr>
        <w:pStyle w:val="Heading1"/>
      </w:pPr>
      <w:r>
        <w:t>10. Conclusion</w:t>
      </w:r>
    </w:p>
    <w:p>
      <w:r>
        <w:rPr>
          <w:b w:val="0"/>
          <w:i w:val="0"/>
          <w:sz w:val="22"/>
        </w:rPr>
        <w:t>This analysis shows that customer churn is not evenly distributed across the telecom customer base. The strongest patterns were observed among newer customers, month-to-month customers, customers with higher monthly charges, fiber-optic customers, and electronic-check users.</w:t>
      </w:r>
    </w:p>
    <w:p>
      <w:r>
        <w:rPr>
          <w:b w:val="0"/>
          <w:i w:val="0"/>
          <w:sz w:val="22"/>
        </w:rPr>
        <w:t>The most significant finding was the relationship between customer tenure and churn. Customers with 0–12 months of tenure had a 47.44% churn rate, while customers with 49–72 months of tenure had a rate of only 9.51%.</w:t>
      </w:r>
    </w:p>
    <w:p>
      <w:r>
        <w:rPr>
          <w:b w:val="0"/>
          <w:i w:val="0"/>
          <w:sz w:val="22"/>
        </w:rPr>
        <w:t>These findings provide useful starting points for targeted customer-retention strategies. However, further analysis would be required to establish causal relationships and determine which interventions would have the greatest effect.</w:t>
      </w:r>
    </w:p>
    <w:p>
      <w:pPr>
        <w:pStyle w:val="Heading1"/>
      </w:pPr>
      <w:r>
        <w:t>11. Tools Used</w:t>
      </w:r>
    </w:p>
    <w:p>
      <w:pPr>
        <w:pStyle w:val="ListBullet"/>
      </w:pPr>
      <w:r>
        <w:t>Python</w:t>
      </w:r>
    </w:p>
    <w:p>
      <w:pPr>
        <w:pStyle w:val="ListBullet"/>
      </w:pPr>
      <w:r>
        <w:t>Pandas</w:t>
      </w:r>
    </w:p>
    <w:p>
      <w:pPr>
        <w:pStyle w:val="ListBullet"/>
      </w:pPr>
      <w:r>
        <w:t>Matplotlib</w:t>
      </w:r>
    </w:p>
    <w:p>
      <w:pPr>
        <w:pStyle w:val="ListBullet"/>
      </w:pPr>
      <w:r>
        <w:t>Seaborn</w:t>
      </w:r>
    </w:p>
    <w:p>
      <w:pPr>
        <w:pStyle w:val="ListBullet"/>
      </w:pPr>
      <w:r>
        <w:t>Jupyter Notebook</w:t>
      </w:r>
    </w:p>
    <w:p>
      <w:pPr>
        <w:pStyle w:val="Heading1"/>
      </w:pPr>
      <w:r>
        <w:t>12. Project Deliverables</w:t>
      </w:r>
    </w:p>
    <w:p>
      <w:r>
        <w:rPr>
          <w:b w:val="0"/>
          <w:i w:val="0"/>
          <w:sz w:val="22"/>
        </w:rPr>
        <w:t>The completed project consists of:</w:t>
      </w:r>
    </w:p>
    <w:p>
      <w:pPr>
        <w:pStyle w:val="ListBullet"/>
      </w:pPr>
      <w:r>
        <w:t>Business Analytics Case Study Report</w:t>
      </w:r>
    </w:p>
    <w:p>
      <w:pPr>
        <w:pStyle w:val="ListBullet"/>
      </w:pPr>
      <w:r>
        <w:t>Business Presentation</w:t>
      </w:r>
    </w:p>
    <w:p>
      <w:pPr>
        <w:pStyle w:val="ListBullet"/>
      </w:pPr>
      <w:r>
        <w:t>Exploratory Data Analysis Notebook</w:t>
      </w:r>
    </w:p>
    <w:p>
      <w:pPr>
        <w:pStyle w:val="ListBullet"/>
      </w:pPr>
      <w:r>
        <w:t>Data Visualizations</w:t>
      </w:r>
    </w:p>
    <w:p>
      <w:pPr>
        <w:pStyle w:val="ListBullet"/>
      </w:pPr>
      <w:r>
        <w:t>GitHub Project Repository</w:t>
      </w:r>
    </w:p>
    <w:p/>
    <w:p>
      <w:r>
        <w:rPr>
          <w:b/>
          <w:i w:val="0"/>
          <w:color w:val="121F3D"/>
          <w:sz w:val="22"/>
        </w:rPr>
        <w:t>Project Title: Telco Customer Churn — Business Analytics Case Study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21F3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E7C7B"/>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21F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