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Report - October 2026</w:t>
      </w:r>
    </w:p>
    <w:p>
      <w:r>
        <w:rPr>
          <w:i/>
        </w:rPr>
        <w:t>DRAFT - prepared by the CFO Office for the November board meeting</w:t>
      </w:r>
    </w:p>
    <w:p>
      <w:pPr>
        <w:pStyle w:val="Heading1"/>
      </w:pPr>
      <w:r>
        <w:t>1. Executive Summary</w:t>
      </w:r>
    </w:p>
    <w:p>
      <w:r>
        <w:rPr>
          <w:b w:val="0"/>
        </w:rPr>
        <w:t>October trading was ahead of budget on revenue, with operating expenses slightly above plan. The month-end close is on track for completion by 7 November.</w:t>
      </w:r>
    </w:p>
    <w:p>
      <w:pPr>
        <w:pStyle w:val="Heading1"/>
      </w:pPr>
      <w:r>
        <w:t>2. 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Budget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Variance</w:t>
            </w:r>
          </w:p>
        </w:tc>
      </w:tr>
      <w:tr>
        <w:tc>
          <w:tcPr>
            <w:tcW w:type="dxa" w:w="2160"/>
          </w:tcPr>
          <w:p>
            <w:r/>
            <w:r>
              <w:t>Revenue</w:t>
            </w:r>
          </w:p>
        </w:tc>
        <w:tc>
          <w:tcPr>
            <w:tcW w:type="dxa" w:w="2160"/>
          </w:tcPr>
          <w:p>
            <w:r/>
            <w:r>
              <w:t>4,200,000</w:t>
            </w:r>
          </w:p>
        </w:tc>
        <w:tc>
          <w:tcPr>
            <w:tcW w:type="dxa" w:w="2160"/>
          </w:tcPr>
          <w:p>
            <w:r/>
            <w:r>
              <w:t>4,310,000</w:t>
            </w:r>
          </w:p>
        </w:tc>
        <w:tc>
          <w:tcPr>
            <w:tcW w:type="dxa" w:w="2160"/>
          </w:tcPr>
          <w:p>
            <w:r/>
            <w:r>
              <w:t>110,000</w:t>
            </w:r>
          </w:p>
        </w:tc>
      </w:tr>
      <w:tr>
        <w:tc>
          <w:tcPr>
            <w:tcW w:type="dxa" w:w="2160"/>
          </w:tcPr>
          <w:p>
            <w:r/>
            <w:r>
              <w:t>Cost of goods sold</w:t>
            </w:r>
          </w:p>
        </w:tc>
        <w:tc>
          <w:tcPr>
            <w:tcW w:type="dxa" w:w="2160"/>
          </w:tcPr>
          <w:p>
            <w:r/>
            <w:r>
              <w:t>2,310,000</w:t>
            </w:r>
          </w:p>
        </w:tc>
        <w:tc>
          <w:tcPr>
            <w:tcW w:type="dxa" w:w="2160"/>
          </w:tcPr>
          <w:p>
            <w:r/>
            <w:r>
              <w:t>2,350,000</w:t>
            </w:r>
          </w:p>
        </w:tc>
        <w:tc>
          <w:tcPr>
            <w:tcW w:type="dxa" w:w="2160"/>
          </w:tcPr>
          <w:p>
            <w:r/>
            <w:r>
              <w:t>(40,000)</w:t>
            </w:r>
          </w:p>
        </w:tc>
      </w:tr>
      <w:tr>
        <w:tc>
          <w:tcPr>
            <w:tcW w:type="dxa" w:w="2160"/>
          </w:tcPr>
          <w:p>
            <w:r/>
            <w:r>
              <w:t>Gross margin</w:t>
            </w:r>
          </w:p>
        </w:tc>
        <w:tc>
          <w:tcPr>
            <w:tcW w:type="dxa" w:w="2160"/>
          </w:tcPr>
          <w:p>
            <w:r/>
            <w:r>
              <w:t>1,890,000</w:t>
            </w:r>
          </w:p>
        </w:tc>
        <w:tc>
          <w:tcPr>
            <w:tcW w:type="dxa" w:w="2160"/>
          </w:tcPr>
          <w:p>
            <w:r/>
            <w:r>
              <w:t>1,960,000</w:t>
            </w:r>
          </w:p>
        </w:tc>
        <w:tc>
          <w:tcPr>
            <w:tcW w:type="dxa" w:w="2160"/>
          </w:tcPr>
          <w:p>
            <w:r/>
            <w:r>
              <w:t>70,000</w:t>
            </w:r>
          </w:p>
        </w:tc>
      </w:tr>
      <w:tr>
        <w:tc>
          <w:tcPr>
            <w:tcW w:type="dxa" w:w="2160"/>
          </w:tcPr>
          <w:p>
            <w:r/>
            <w:r>
              <w:t>Operating expenses</w:t>
            </w:r>
          </w:p>
        </w:tc>
        <w:tc>
          <w:tcPr>
            <w:tcW w:type="dxa" w:w="2160"/>
          </w:tcPr>
          <w:p>
            <w:r/>
            <w:r>
              <w:t>1,406,000</w:t>
            </w:r>
          </w:p>
        </w:tc>
        <w:tc>
          <w:tcPr>
            <w:tcW w:type="dxa" w:w="2160"/>
          </w:tcPr>
          <w:p>
            <w:r/>
            <w:r>
              <w:t>1,457,000</w:t>
            </w:r>
          </w:p>
        </w:tc>
        <w:tc>
          <w:tcPr>
            <w:tcW w:type="dxa" w:w="2160"/>
          </w:tcPr>
          <w:p>
            <w:r/>
            <w:r>
              <w:t>(51,000)</w:t>
            </w:r>
          </w:p>
        </w:tc>
      </w:tr>
    </w:tbl>
    <w:p/>
    <w:p>
      <w:pPr>
        <w:pStyle w:val="Heading2"/>
      </w:pPr>
      <w:r>
        <w:t>Variance Commentary</w:t>
      </w:r>
    </w:p>
    <w:p>
      <w:r>
        <w:rPr>
          <w:b w:val="0"/>
        </w:rPr>
        <w:t>[Commentary to be added]</w:t>
      </w:r>
    </w:p>
    <w:p>
      <w:pPr>
        <w:pStyle w:val="Heading1"/>
      </w:pPr>
      <w:r>
        <w:t>3. Operational Highlights</w:t>
      </w:r>
    </w:p>
    <w:p>
      <w:pPr>
        <w:pStyle w:val="ListBullet"/>
      </w:pPr>
      <w:r>
        <w:rPr>
          <w:b w:val="0"/>
        </w:rPr>
        <w:t>Network Operations completed 14 planned changes with no customer-impacting incidents.</w:t>
      </w:r>
    </w:p>
    <w:p>
      <w:pPr>
        <w:pStyle w:val="ListBullet"/>
      </w:pPr>
      <w:r>
        <w:rPr>
          <w:b w:val="0"/>
        </w:rPr>
        <w:t>Legal finalised the Acme Logistics supply agreement; Fabrikam Ltd MSA v4 under review.</w:t>
      </w:r>
    </w:p>
    <w:p>
      <w:pPr>
        <w:pStyle w:val="ListBullet"/>
      </w:pPr>
      <w:r>
        <w:rPr>
          <w:b w:val="0"/>
        </w:rPr>
        <w:t>Core router upgrade programme continues at the Sydney POP in week 43.</w:t>
      </w:r>
    </w:p>
    <w:p>
      <w:pPr>
        <w:pStyle w:val="Heading1"/>
      </w:pPr>
      <w:r>
        <w:t>4. Risks and Matters for the Board</w:t>
      </w:r>
    </w:p>
    <w:p>
      <w:r>
        <w:rPr>
          <w:b w:val="0"/>
        </w:rPr>
        <w:t>Cloud hosting costs are trending above budget; a cost optimisation review is proposed for Q4.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Halcyon Group - fictional demo document -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HALCYON GROUP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Report - October 2026</dc:title>
  <dc:subject/>
  <dc:creator>Halcyon Group (demo)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