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exslt="http://exslt.org/common" xmlns:rda="http://www.records.nsw.gov.au/schemas/RDA" mc:Ignorable="w14 w15 w16se w16cid w16 w16cex w16sdtdh w16sdtfl w16du wp14">
  <w:body>
    <w:p>
      <w:pPr>
        <w:keepLines/>
        <w:widowControl w:val="0"/>
        <w:tabs>
          <w:tab w:val="left" w:pos="1020"/>
        </w:tabs>
        <w:spacing w:before="0" w:after="80"/>
        <w:outlineLvl w:val="0"/>
        <w:rPr>
          <w:color w:val="001C4A"/>
          <w:sz w:val="56"/>
          <w:szCs w:val="56"/>
        </w:rPr>
      </w:pPr>
      <w:r>
        <w:rPr>
          <w:noProof/>
        </w:rPr>
        <w:drawing>
          <wp:anchor distT="0" distB="0" distL="114300" distR="114300" simplePos="0" relativeHeight="251660288" behindDoc="0" locked="0" layoutInCell="1" allowOverlap="1" wp14:anchorId="00A7D822" wp14:editId="421B301F">
            <wp:simplePos x="0" y="0"/>
            <wp:positionH relativeFrom="margin">
              <wp:align>right</wp:align>
            </wp:positionH>
            <wp:positionV relativeFrom="page">
              <wp:posOffset>809625</wp:posOffset>
            </wp:positionV>
            <wp:extent cx="856615" cy="930846"/>
            <wp:effectExtent l="0" t="0" r="635" b="3175"/>
            <wp:wrapNone/>
            <wp:docPr id="5" name="Picture 2" descr="NSW Governm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SW Government Logo"/>
                    <pic:cNvPicPr>
                      <a:picLocks noChangeAspect="1" noChangeArrowheads="1"/>
                    </pic:cNvPicPr>
                  </pic:nvPicPr>
                  <pic:blipFill>
                    <a:blip r:embed="rId11" cstate="print"/>
                    <a:srcRect/>
                    <a:stretch>
                      <a:fillRect/>
                    </a:stretch>
                  </pic:blipFill>
                  <pic:spPr bwMode="auto">
                    <a:xfrm>
                      <a:off x="0" y="0"/>
                      <a:ext cx="856615" cy="930846"/>
                    </a:xfrm>
                    <a:prstGeom prst="rect">
                      <a:avLst/>
                    </a:prstGeom>
                    <a:noFill/>
                    <a:ln>
                      <a:noFill/>
                    </a:ln>
                  </pic:spPr>
                </pic:pic>
              </a:graphicData>
            </a:graphic>
            <wp14:sizeRelH relativeFrom="page">
              <wp14:pctWidth>0</wp14:pctWidth>
            </wp14:sizeRelH>
            <wp14:sizeRelV relativeFrom="page">
              <wp14:pctHeight>0</wp14:pctHeight>
            </wp14:sizeRelV>
          </wp:anchor>
        </w:drawing>
      </w:r>
      <w:r>
        <w:rPr>
          <w:color w:val="001C4A"/>
          <w:sz w:val="56"/>
          <w:szCs w:val="56"/>
        </w:rPr>
        <w:tab/>
      </w:r>
    </w:p>
    <w:p>
      <w:pPr>
        <w:keepLines/>
        <w:widowControl w:val="0"/>
        <w:tabs>
          <w:tab w:val="left" w:pos="1020"/>
        </w:tabs>
        <w:spacing w:before="0" w:after="80"/>
        <w:outlineLvl w:val="0"/>
        <w:rPr>
          <w:color w:val="001C4A"/>
          <w:sz w:val="56"/>
          <w:szCs w:val="56"/>
        </w:rPr>
      </w:pPr>
    </w:p>
    <w:p>
      <w:pPr>
        <w:widowControl w:val="0"/>
        <w:spacing w:before="0"/>
        <w:rPr>
          <w:sz w:val="32"/>
          <w:szCs w:val="32"/>
        </w:rPr>
      </w:pPr>
    </w:p>
    <w:p>
      <w:pPr>
        <w:widowControl w:val="0"/>
        <w:spacing w:before="0"/>
        <w:rPr>
          <w:b/>
          <w:sz w:val="40"/>
        </w:rPr>
      </w:pPr>
    </w:p>
    <w:p>
      <w:pPr>
        <w:widowControl w:val="0"/>
        <w:tabs>
          <w:tab w:val="left" w:pos="2970"/>
        </w:tabs>
        <w:spacing w:before="0"/>
        <w:rPr>
          <w:b/>
          <w:sz w:val="40"/>
        </w:rPr>
      </w:pPr>
      <w:r>
        <w:rPr>
          <w:b/>
          <w:sz w:val="40"/>
        </w:rPr>
        <w:tab/>
      </w:r>
    </w:p>
    <w:p>
      <w:pPr>
        <w:widowControl w:val="0"/>
        <w:spacing w:before="0"/>
        <w:rPr>
          <w:b/>
          <w:sz w:val="40"/>
        </w:rPr>
      </w:pPr>
    </w:p>
    <w:p>
      <w:pPr>
        <w:widowControl w:val="0"/>
        <w:spacing w:before="0"/>
        <w:rPr>
          <w:b/>
          <w:sz w:val="40"/>
        </w:rPr>
      </w:pPr>
    </w:p>
    <w:p>
      <w:pPr>
        <w:widowControl w:val="0"/>
        <w:spacing w:before="0"/>
        <w:rPr>
          <w:b/>
          <w:sz w:val="40"/>
        </w:rPr>
      </w:pPr>
    </w:p>
    <w:p>
      <w:pPr>
        <w:widowControl w:val="0"/>
        <w:spacing w:before="0"/>
        <w:rPr>
          <w:bCs/>
          <w:color w:val="002060"/>
          <w:sz w:val="44"/>
          <w:szCs w:val="22"/>
        </w:rPr>
      </w:pPr>
      <w:r>
        <w:rPr>
          <w:bCs/>
          <w:noProof/>
          <w:color w:val="002060"/>
          <w:sz w:val="44"/>
          <w:szCs w:val="22"/>
        </w:rPr>
        <mc:AlternateContent>
          <mc:Choice Requires="wpg">
            <w:drawing>
              <wp:anchor distT="0" distB="0" distL="114300" distR="114300" simplePos="0" relativeHeight="251661312" behindDoc="1" locked="0" layoutInCell="1" allowOverlap="1" wp14:anchorId="2811EFB4" wp14:editId="5325948C">
                <wp:simplePos x="0" y="0"/>
                <wp:positionH relativeFrom="column">
                  <wp:posOffset>-188049</wp:posOffset>
                </wp:positionH>
                <wp:positionV relativeFrom="paragraph">
                  <wp:posOffset>280286</wp:posOffset>
                </wp:positionV>
                <wp:extent cx="6276178" cy="980898"/>
                <wp:effectExtent l="0" t="0" r="29845" b="29210"/>
                <wp:wrapNone/>
                <wp:docPr id="46629071" name="Group 1"/>
                <wp:cNvGraphicFramePr/>
                <a:graphic xmlns:a="http://schemas.openxmlformats.org/drawingml/2006/main">
                  <a:graphicData uri="http://schemas.microsoft.com/office/word/2010/wordprocessingGroup">
                    <wpg:wgp>
                      <wpg:cNvGrpSpPr/>
                      <wpg:grpSpPr>
                        <a:xfrm>
                          <a:off x="0" y="0"/>
                          <a:ext cx="6276178" cy="980898"/>
                          <a:chOff x="0" y="0"/>
                          <a:chExt cx="6276178" cy="980898"/>
                        </a:xfrm>
                      </wpg:grpSpPr>
                      <wps:wsp>
                        <wps:cNvPr id="510851205" name="Straight Connector 2"/>
                        <wps:cNvCnPr>
                          <a:cxnSpLocks/>
                        </wps:cNvCnPr>
                        <wps:spPr>
                          <a:xfrm flipV="1">
                            <a:off x="10633" y="0"/>
                            <a:ext cx="6265545" cy="13335"/>
                          </a:xfrm>
                          <a:prstGeom prst="line">
                            <a:avLst/>
                          </a:prstGeom>
                          <a:noFill/>
                          <a:ln w="9525" cap="flat" cmpd="sng" algn="ctr">
                            <a:solidFill>
                              <a:srgbClr val="002664"/>
                            </a:solidFill>
                            <a:prstDash val="solid"/>
                          </a:ln>
                          <a:effectLst/>
                        </wps:spPr>
                        <wps:bodyPr/>
                      </wps:wsp>
                      <wps:wsp>
                        <wps:cNvPr id="1348298074" name="Straight Connector 2"/>
                        <wps:cNvCnPr>
                          <a:cxnSpLocks/>
                        </wps:cNvCnPr>
                        <wps:spPr>
                          <a:xfrm flipV="1">
                            <a:off x="0" y="967563"/>
                            <a:ext cx="6266180" cy="13335"/>
                          </a:xfrm>
                          <a:prstGeom prst="line">
                            <a:avLst/>
                          </a:prstGeom>
                          <a:noFill/>
                          <a:ln w="9525" cap="flat" cmpd="sng" algn="ctr">
                            <a:solidFill>
                              <a:srgbClr val="002664"/>
                            </a:solidFill>
                            <a:prstDash val="solid"/>
                          </a:ln>
                          <a:effectLst/>
                        </wps:spPr>
                        <wps:bodyPr/>
                      </wps:wsp>
                    </wpg:wgp>
                  </a:graphicData>
                </a:graphic>
              </wp:anchor>
            </w:drawing>
          </mc:Choice>
          <mc:Fallback>
            <w:pict>
              <v:group w14:anchorId="76DB0E4F" id="Group 1" o:spid="_x0000_s1026" style="position:absolute;margin-left:-14.8pt;margin-top:22.05pt;width:494.2pt;height:77.25pt;z-index:-251655168" coordsize="62761,98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">
                <v:line id="Straight Connector 2" o:spid="_x0000_s1027" style="position:absolute;flip:y;visibility:visible;mso-wrap-style:square" from="106,0" to="62761,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" strokecolor="#002664">
                  <o:lock v:ext="edit" shapetype="f"/>
                </v:line>
                <v:line id="Straight Connector 2" o:spid="_x0000_s1028" style="position:absolute;flip:y;visibility:visible;mso-wrap-style:square" from="0,9675" to="6266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" strokecolor="#002664">
                  <o:lock v:ext="edit" shapetype="f"/>
                </v:line>
              </v:group>
            </w:pict>
          </mc:Fallback>
        </mc:AlternateContent>
      </w:r>
    </w:p>
    <w:p>
      <w:pPr>
        <w:widowControl w:val="0"/>
        <w:spacing w:before="0"/>
        <w:rPr>
          <w:bCs/>
          <w:color w:val="002060"/>
          <w:sz w:val="44"/>
          <w:szCs w:val="22"/>
        </w:rPr>
      </w:pPr>
      <w:sdt>
        <w:sdtPr>
          <w:rPr>
            <w:rFonts w:ascii="Public Sans" w:hAnsi="Public Sans" w:cs="Arial"/>
            <w:bCs/>
            <w:color w:val="002060"/>
            <w:sz w:val="44"/>
            <w:szCs w:val="22"/>
          </w:rPr>
          <w:alias w:val="Update to Functional/General"/>
          <w:tag w:val="Update to Functional/General"/>
          <w:id w:val="341130631"/>
          <w:placeholder>
            <w:docPart w:val="8A45A49016D145DC9E38854241888BBE"/>
          </w:placeholder>
          <w:temporary/>
          <w15:color w:val="00CCFF"/>
        </w:sdtPr>
        <w:sdtEndPr/>
        <w:sdtContent>
          <w:r>
            <w:rPr>
              <w:bCs/>
              <w:color w:val="002060"/>
              <w:sz w:val="44"/>
              <w:szCs w:val="22"/>
            </w:rPr>
            <w:t xml:space="preserve">Functional Retention and Disposal Authority </w:t>
          </w:r>
        </w:sdtContent>
      </w:sdt>
    </w:p>
    <w:p>
      <w:pPr>
        <w:widowControl w:val="0"/>
        <w:spacing w:before="0"/>
        <w:rPr>
          <w:bCs/>
          <w:color w:val="002060"/>
          <w:sz w:val="44"/>
          <w:szCs w:val="22"/>
        </w:rPr>
      </w:pPr>
      <w:r>
        <w:rPr>
          <w:bCs/>
          <w:color w:val="002060"/>
          <w:sz w:val="44"/>
          <w:szCs w:val="22"/>
        </w:rPr>
        <w:t>FA399</w:t>
      </w:r>
    </w:p>
    <w:p>
      <w:pPr>
        <w:widowControl w:val="0"/>
        <w:spacing w:before="0"/>
        <w:rPr>
          <w:bCs/>
          <w:color w:val="002060"/>
          <w:sz w:val="24"/>
          <w:szCs w:val="24"/>
        </w:rPr>
      </w:pPr>
    </w:p>
    <w:p>
      <w:pPr>
        <w:widowControl w:val="0"/>
        <w:spacing w:before="0"/>
        <w:rPr>
          <w:bCs/>
          <w:color w:val="002060"/>
          <w:sz w:val="24"/>
          <w:szCs w:val="24"/>
        </w:rPr>
      </w:pPr>
      <w:r>
        <w:rPr>
          <w:bCs/>
          <w:color w:val="002060"/>
          <w:sz w:val="24"/>
          <w:szCs w:val="24"/>
        </w:rPr>
        <w:t xml:space="preserve">This authority covers records documenting the function of </w:t>
      </w:r>
      <w:r>
        <w:rPr>
          <w:b/>
          <w:color w:val="002060"/>
          <w:sz w:val="24"/>
          <w:szCs w:val="24"/>
        </w:rPr>
        <w:t>provision of local land programs and services</w:t>
      </w:r>
    </w:p>
    <w:p>
      <w:pPr>
        <w:widowControl w:val="0"/>
        <w:spacing w:before="0"/>
        <w:rPr>
          <w:color w:val="002060"/>
          <w:sz w:val="32"/>
          <w:szCs w:val="32"/>
        </w:rPr>
      </w:pPr>
    </w:p>
    <w:p>
      <w:pPr>
        <w:widowControl w:val="0"/>
        <w:spacing w:before="0"/>
        <w:rPr>
          <w:color w:val="002060"/>
          <w:sz w:val="32"/>
          <w:szCs w:val="32"/>
        </w:rPr>
      </w:pPr>
    </w:p>
    <w:p>
      <w:pPr>
        <w:widowControl w:val="0"/>
        <w:spacing w:before="0"/>
        <w:rPr>
          <w:color w:val="002060"/>
        </w:rPr>
      </w:pPr>
    </w:p>
    <w:p>
      <w:pPr>
        <w:widowControl w:val="0"/>
        <w:spacing w:before="0"/>
        <w:rPr>
          <w:color w:val="002060"/>
          <w:sz w:val="28"/>
          <w:szCs w:val="28"/>
        </w:rPr>
      </w:pPr>
    </w:p>
    <w:p>
      <w:pPr>
        <w:widowControl w:val="0"/>
        <w:spacing w:before="0"/>
        <w:rPr>
          <w:color w:val="002060"/>
          <w:sz w:val="28"/>
          <w:szCs w:val="28"/>
        </w:rPr>
      </w:pPr>
    </w:p>
    <w:p>
      <w:pPr>
        <w:widowControl w:val="0"/>
        <w:spacing w:before="0"/>
        <w:rPr>
          <w:color w:val="002060"/>
          <w:sz w:val="28"/>
          <w:szCs w:val="28"/>
        </w:rPr>
      </w:pPr>
    </w:p>
    <w:p>
      <w:pPr>
        <w:widowControl w:val="0"/>
        <w:spacing w:before="0"/>
        <w:rPr>
          <w:color w:val="002060"/>
          <w:sz w:val="28"/>
          <w:szCs w:val="28"/>
        </w:rPr>
      </w:pPr>
    </w:p>
    <w:p>
      <w:pPr>
        <w:widowControl w:val="0"/>
        <w:spacing w:before="0"/>
        <w:rPr>
          <w:color w:val="002060"/>
          <w:sz w:val="24"/>
          <w:szCs w:val="24"/>
        </w:rPr>
      </w:pPr>
      <w:r>
        <w:rPr>
          <w:b/>
          <w:bCs/>
          <w:color w:val="002060"/>
          <w:sz w:val="24"/>
          <w:szCs w:val="24"/>
        </w:rPr>
        <w:t>Version 2.0</w:t>
      </w:r>
    </w:p>
    <w:p>
      <w:pPr>
        <w:widowControl w:val="0"/>
        <w:spacing w:before="0"/>
        <w:rPr>
          <w:b/>
          <w:bCs/>
          <w:color w:val="002060"/>
          <w:sz w:val="24"/>
          <w:szCs w:val="24"/>
        </w:rPr>
      </w:pPr>
      <w:r>
        <w:rPr>
          <w:b/>
          <w:bCs/>
          <w:color w:val="002060"/>
          <w:sz w:val="24"/>
          <w:szCs w:val="24"/>
        </w:rPr>
        <w:t>29 June 2018</w:t>
      </w:r>
    </w:p>
    <w:p>
      <w:pPr>
        <w:widowControl w:val="0"/>
        <w:spacing w:before="0"/>
        <w:rPr>
          <w:color w:val="002060"/>
          <w:sz w:val="28"/>
          <w:szCs w:val="28"/>
        </w:rPr>
      </w:pPr>
      <w:r>
        <w:rPr>
          <w:noProof/>
          <w:color w:val="002060"/>
        </w:rPr>
        <mc:AlternateContent>
          <mc:Choice Requires="wps">
            <w:drawing>
              <wp:anchor distT="0" distB="0" distL="114299" distR="114299" simplePos="0" relativeHeight="251659264" behindDoc="0" locked="0" layoutInCell="1" allowOverlap="1" wp14:anchorId="63C095A0" wp14:editId="6E390200">
                <wp:simplePos x="0" y="0"/>
                <wp:positionH relativeFrom="column">
                  <wp:posOffset>-81281</wp:posOffset>
                </wp:positionH>
                <wp:positionV relativeFrom="paragraph">
                  <wp:posOffset>240030</wp:posOffset>
                </wp:positionV>
                <wp:extent cx="0" cy="666750"/>
                <wp:effectExtent l="0" t="0" r="38100" b="19050"/>
                <wp:wrapNone/>
                <wp:docPr id="2066033619"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66750"/>
                        </a:xfrm>
                        <a:prstGeom prst="line">
                          <a:avLst/>
                        </a:prstGeom>
                        <a:noFill/>
                        <a:ln w="19050" cap="flat" cmpd="sng" algn="ctr">
                          <a:solidFill>
                            <a:srgbClr val="C00000"/>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2204A184" id="Straight Connector 2" o:spid="_x0000_s1026" style="position:absolute;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6.4pt,18.9pt" to="-6.4pt,7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" strokecolor="#c00000" strokeweight="1.5pt">
                <o:lock v:ext="edit" shapetype="f"/>
              </v:line>
            </w:pict>
          </mc:Fallback>
        </mc:AlternateContent>
      </w:r>
    </w:p>
    <w:p>
      <w:pPr>
        <w:widowControl w:val="0"/>
        <w:spacing w:before="0"/>
        <w:rPr>
          <w:color w:val="002060"/>
          <w:sz w:val="24"/>
          <w:szCs w:val="24"/>
        </w:rPr>
      </w:pPr>
      <w:r>
        <w:rPr>
          <w:color w:val="002060"/>
          <w:sz w:val="24"/>
          <w:szCs w:val="24"/>
        </w:rPr>
        <w:t xml:space="preserve">This retention and disposal authority is approved under section 21(2)c of the</w:t>
      </w:r>
      <w:r>
        <w:rPr>
          <w:i/>
          <w:color w:val="002060"/>
          <w:sz w:val="24"/>
          <w:szCs w:val="24"/>
        </w:rPr>
        <w:t xml:space="preserve"> State Records Act 1998 </w:t>
      </w:r>
      <w:r>
        <w:rPr>
          <w:color w:val="002060"/>
          <w:sz w:val="24"/>
          <w:szCs w:val="24"/>
        </w:rPr>
        <w:t xml:space="preserve">following prior approval by the Board of the State Records Authority NSW in accordance with section 21(3) of the Act.</w:t>
      </w:r>
    </w:p>
    <w:p>
      <w:pPr>
        <w:widowControl w:val="0"/>
        <w:spacing w:before="0"/>
        <w:rPr>
          <w:color w:val="002060"/>
          <w:sz w:val="24"/>
          <w:szCs w:val="24"/>
        </w:rPr>
      </w:pPr>
    </w:p>
    <w:p>
      <w:pPr>
        <w:widowControl w:val="0"/>
        <w:spacing w:before="0"/>
        <w:rPr>
          <w:b/>
          <w:bCs/>
          <w:color w:val="002060"/>
          <w:sz w:val="24"/>
          <w:szCs w:val="24"/>
        </w:rPr>
      </w:pPr>
      <w:r>
        <w:rPr>
          <w:b/>
          <w:bCs/>
          <w:color w:val="002060"/>
          <w:sz w:val="24"/>
          <w:szCs w:val="24"/>
        </w:rPr>
        <w:t>State Records Authority NSW</w:t>
      </w:r>
    </w:p>
    <w:p>
      <w:pPr>
        <w:widowControl w:val="0"/>
        <w:spacing w:before="0"/>
        <w:rPr>
          <w:sz w:val="28"/>
          <w:szCs w:val="28"/>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pPr>
      <w:r>
        <w:t xml:space="preserve">© State of New South Wales through State Records Authority NSW 2025. </w:t>
      </w:r>
    </w:p>
    <w:p>
      <w:pPr>
        <w:widowControl w:val="0"/>
        <w:tabs>
          <w:tab w:val="right" w:pos="9072"/>
        </w:tabs>
        <w:spacing w:before="0" w:after="60" w:line="276" w:lineRule="auto"/>
      </w:pPr>
    </w:p>
    <w:p>
      <w:pPr>
        <w:widowControl w:val="0"/>
        <w:tabs>
          <w:tab w:val="right" w:pos="9072"/>
        </w:tabs>
        <w:spacing w:before="0" w:after="60" w:line="276" w:lineRule="auto"/>
        <w:rPr>
          <w:b/>
          <w:bCs/>
        </w:rPr>
      </w:pPr>
      <w:r>
        <w:rPr>
          <w:b/>
          <w:bCs/>
        </w:rPr>
        <w:t>Copyright &amp; Attribution</w:t>
      </w:r>
    </w:p>
    <w:p>
      <w:pPr>
        <w:widowControl w:val="0"/>
        <w:tabs>
          <w:tab w:val="right" w:pos="9072"/>
        </w:tabs>
        <w:spacing w:before="0" w:after="60" w:line="276" w:lineRule="auto"/>
      </w:pPr>
      <w:r>
        <w:t xml:space="preserve">This work may be freely reproduced for personal, educational or government purposes. Permission must be received from State Records Authority NSW for all other uses.</w:t>
      </w:r>
    </w:p>
    <w:p>
      <w:pPr>
        <w:widowControl w:val="0"/>
        <w:tabs>
          <w:tab w:val="right" w:pos="9072"/>
        </w:tabs>
        <w:spacing w:before="0" w:after="60" w:line="276" w:lineRule="auto"/>
      </w:pPr>
    </w:p>
    <w:p>
      <w:pPr>
        <w:widowControl w:val="0"/>
        <w:spacing w:before="0" w:line="276" w:lineRule="auto"/>
        <w:rPr>
          <w:b/>
          <w:bCs/>
        </w:rPr>
      </w:pPr>
      <w:r>
        <w:rPr>
          <w:b/>
          <w:bCs/>
        </w:rPr>
        <w:t>Contact Information</w:t>
      </w:r>
    </w:p>
    <w:p>
      <w:pPr>
        <w:widowControl w:val="0"/>
        <w:spacing w:before="0" w:line="276" w:lineRule="auto"/>
        <w:rPr>
          <w:sz w:val="22"/>
          <w:szCs w:val="22"/>
        </w:rPr>
        <w:sectPr>
          <w:footerReference w:type="default" r:id="rId12"/>
          <w:headerReference w:type="first" r:id="rId13"/>
          <w:pgSz w:w="11907" w:h="16840" w:code="9"/>
          <w:pgMar w:top="1418" w:right="1418" w:bottom="1418" w:left="1418" w:header="567" w:footer="567" w:gutter="0"/>
          <w:paperSrc w:first="7" w:other="7"/>
          <w:pgNumType w:start="1"/>
          <w:cols w:space="720"/>
          <w:titlePg/>
        </w:sectPr>
      </w:pPr>
      <w:r>
        <w:t>State Records Authority NSW</w:t>
      </w:r>
      <w:r>
        <w:br/>
        <w:t>PO Box 516 Kingswood NSW 2747</w:t>
      </w:r>
      <w:r>
        <w:br/>
        <w:t xml:space="preserve">Telephone: (02) 9714 3080    E-mail: </w:t>
      </w:r>
      <w:r>
        <w:rPr>
          <w:color w:val="0000FF"/>
          <w:u w:val="single"/>
        </w:rPr>
        <w:t>govrec@staterecords.nsw.gov.au</w:t>
      </w:r>
    </w:p>
    <w:p>
      <w:pPr>
        <w:keepLines/>
        <w:widowControl w:val="0"/>
        <w:spacing w:before="0" w:after="0" w:line="276" w:lineRule="auto"/>
        <w:outlineLvl w:val="0"/>
        <w:rPr>
          <w:color w:val="001C4A"/>
          <w:sz w:val="40"/>
          <w:szCs w:val="40"/>
        </w:rPr>
      </w:pPr>
      <w:r>
        <w:rPr>
          <w:color w:val="001C4A"/>
          <w:sz w:val="40"/>
          <w:szCs w:val="40"/>
        </w:rPr>
        <w:t>State Records Authority NSW</w:t>
      </w:r>
    </w:p>
    <w:p>
      <w:pPr>
        <w:keepLines/>
        <w:widowControl w:val="0"/>
        <w:spacing w:before="0" w:after="80" w:line="276" w:lineRule="auto"/>
        <w:outlineLvl w:val="0"/>
        <w:rPr>
          <w:color w:val="001C4A"/>
          <w:sz w:val="40"/>
          <w:szCs w:val="40"/>
        </w:rPr>
      </w:pPr>
      <w:r>
        <w:rPr>
          <w:color w:val="001C4A"/>
          <w:sz w:val="40"/>
          <w:szCs w:val="40"/>
        </w:rPr>
        <w:t>Functional Retention and Disposal Authority</w:t>
      </w:r>
    </w:p>
    <w:p>
      <w:pPr>
        <w:widowControl w:val="0"/>
        <w:spacing w:before="0" w:line="276" w:lineRule="auto"/>
      </w:pPr>
    </w:p>
    <w:tbl>
      <w:tblPr>
        <w:tblW w:w="4997" w:type="pct"/>
        <w:tblBorders>
          <w:right w:val="single" w:sz="4" w:space="0" w:color="auto"/>
          <w:insideH w:val="single" w:sz="4" w:space="0" w:color="auto"/>
        </w:tblBorders>
        <w:tblCellMar>
          <w:top w:w="85" w:type="dxa"/>
          <w:left w:w="170" w:type="dxa"/>
          <w:bottom w:w="85" w:type="dxa"/>
          <w:right w:w="56" w:type="dxa"/>
        </w:tblCellMar>
        <w:tblLook w:val="0000" w:firstRow="0" w:lastRow="0" w:firstColumn="0" w:lastColumn="0" w:noHBand="0" w:noVBand="0"/>
      </w:tblPr>
      <w:tblGrid>
        <w:gridCol w:w="2551"/>
        <w:gridCol w:w="6515"/>
      </w:tblGrid>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Authority Number</w:t>
            </w:r>
          </w:p>
        </w:tc>
        <w:tc>
          <w:tcPr>
            <w:tcW w:w="3593" w:type="pct"/>
            <w:tcBorders>
              <w:right w:val="nil"/>
            </w:tcBorders>
          </w:tcPr>
          <w:p>
            <w:pPr>
              <w:widowControl w:val="0"/>
              <w:spacing w:before="0" w:line="276" w:lineRule="auto"/>
              <w:rPr>
                <w:szCs w:val="16"/>
              </w:rPr>
            </w:pPr>
            <w:r>
              <w:rPr>
                <w:szCs w:val="16"/>
              </w:rPr>
              <w:t>FA399</w:t>
            </w:r>
          </w:p>
        </w:tc>
      </w:tr>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SR file number</w:t>
            </w:r>
          </w:p>
        </w:tc>
        <w:tc>
          <w:tcPr>
            <w:tcW w:w="3593" w:type="pct"/>
            <w:tcBorders>
              <w:right w:val="nil"/>
            </w:tcBorders>
          </w:tcPr>
          <w:p>
            <w:pPr>
              <w:widowControl w:val="0"/>
              <w:spacing w:before="0" w:line="276" w:lineRule="auto"/>
              <w:rPr>
                <w:szCs w:val="16"/>
              </w:rPr>
            </w:pPr>
            <w:r>
              <w:rPr>
                <w:szCs w:val="16"/>
              </w:rPr>
              <w:t>18/0231</w:t>
            </w:r>
          </w:p>
        </w:tc>
      </w:tr>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Scope</w:t>
            </w:r>
          </w:p>
        </w:tc>
        <w:tc>
          <w:tcPr>
            <w:tcW w:w="3593" w:type="pct"/>
            <w:tcBorders>
              <w:right w:val="nil"/>
            </w:tcBorders>
          </w:tcPr>
          <w:p>
            <w:pPr>
              <w:widowControl w:val="0"/>
              <w:spacing w:before="0" w:line="276" w:lineRule="auto"/>
              <w:rPr>
                <w:szCs w:val="16"/>
              </w:rPr>
            </w:pPr>
            <w:r>
              <w:rPr>
                <w:szCs w:val="16"/>
              </w:rPr>
              <w:t xml:space="preserve">This retention and disposal authority covers records documenting the function of local land programs and advisory services.</w:t>
            </w:r>
            <w:r>
              <w:rPr>
                <w:szCs w:val="16"/>
              </w:rPr>
              <w:t xml:space="preserve">
                            </w:t>
            </w:r>
          </w:p>
        </w:tc>
      </w:tr>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Public office</w:t>
            </w:r>
          </w:p>
        </w:tc>
        <w:tc>
          <w:tcPr>
            <w:tcW w:w="3593" w:type="pct"/>
            <w:tcBorders>
              <w:right w:val="nil"/>
            </w:tcBorders>
          </w:tcPr>
          <w:p>
            <w:pPr>
              <w:widowControl w:val="0"/>
              <w:spacing w:before="0" w:line="276" w:lineRule="auto"/>
              <w:rPr>
                <w:szCs w:val="16"/>
              </w:rPr>
            </w:pPr>
            <w:r>
              <w:rPr>
                <w:szCs w:val="16"/>
              </w:rPr>
              <w:t xml:space="preserve">This authority applies to Statewide and regional local land boards and services.</w:t>
            </w:r>
          </w:p>
        </w:tc>
      </w:tr>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 xml:space="preserve">Issued date  </w:t>
            </w:r>
          </w:p>
        </w:tc>
        <w:tc>
          <w:tcPr>
            <w:tcW w:w="3593" w:type="pct"/>
            <w:tcBorders>
              <w:right w:val="nil"/>
            </w:tcBorders>
          </w:tcPr>
          <w:p>
            <w:pPr>
              <w:widowControl w:val="0"/>
              <w:spacing w:before="0" w:line="276" w:lineRule="auto"/>
              <w:rPr>
                <w:szCs w:val="16"/>
              </w:rPr>
            </w:pPr>
            <w:r>
              <w:rPr>
                <w:szCs w:val="16"/>
              </w:rPr>
              <w:t>29 June 2018</w:t>
            </w:r>
          </w:p>
        </w:tc>
      </w:tr>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Version</w:t>
            </w:r>
          </w:p>
        </w:tc>
        <w:tc>
          <w:tcPr>
            <w:tcW w:w="3593" w:type="pct"/>
            <w:tcBorders>
              <w:right w:val="nil"/>
            </w:tcBorders>
          </w:tcPr>
          <w:p>
            <w:pPr>
              <w:widowControl w:val="0"/>
              <w:spacing w:before="0" w:line="276" w:lineRule="auto"/>
              <w:rPr>
                <w:szCs w:val="16"/>
              </w:rPr>
            </w:pPr>
            <w:r>
              <w:rPr>
                <w:szCs w:val="16"/>
              </w:rPr>
              <w:t>1.0</w:t>
            </w:r>
          </w:p>
        </w:tc>
      </w:tr>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 xml:space="preserve">Supersedes  </w:t>
            </w:r>
          </w:p>
        </w:tc>
        <w:tc>
          <w:tcPr>
            <w:tcW w:w="3593" w:type="pct"/>
            <w:tcBorders>
              <w:right w:val="nil"/>
            </w:tcBorders>
          </w:tcPr>
          <w:p>
            <w:pPr>
              <w:widowControl w:val="0"/>
              <w:spacing w:before="0" w:line="276" w:lineRule="auto"/>
              <w:rPr>
                <w:szCs w:val="16"/>
              </w:rPr>
            </w:pPr>
            <w:r>
              <w:rPr>
                <w:szCs w:val="16"/>
              </w:rPr>
              <w:t>GDA20 Rural Lands Protection Board &amp; State Council</w:t>
            </w:r>
          </w:p>
          <w:p>
            <w:pPr>
              <w:widowControl w:val="0"/>
              <w:spacing w:before="0" w:line="276" w:lineRule="auto"/>
              <w:rPr>
                <w:szCs w:val="16"/>
              </w:rPr>
            </w:pPr>
            <w:r>
              <w:rPr>
                <w:szCs w:val="16"/>
              </w:rPr>
              <w:t>GA29 Catchment Management Authorities</w:t>
            </w:r>
          </w:p>
        </w:tc>
      </w:tr>
    </w:tbl>
    <w:p>
      <w:pPr>
        <w:widowControl w:val="0"/>
        <w:spacing w:before="0" w:line="276" w:lineRule="auto"/>
      </w:pPr>
    </w:p>
    <w:p>
      <w:pPr>
        <w:keepLines/>
        <w:widowControl w:val="0"/>
        <w:spacing w:before="0" w:after="80" w:line="276" w:lineRule="auto"/>
        <w:outlineLvl w:val="1"/>
        <w:rPr>
          <w:color w:val="001C4A"/>
          <w:sz w:val="32"/>
          <w:szCs w:val="32"/>
        </w:rPr>
      </w:pPr>
      <w:r>
        <w:rPr>
          <w:color w:val="001C4A"/>
          <w:sz w:val="32"/>
          <w:szCs w:val="32"/>
        </w:rPr>
        <w:t>Amendments</w:t>
      </w:r>
    </w:p>
    <w:tbl>
      <w:tblPr>
        <w:tblStyle w:val="TableGrid1"/>
        <w:tblW w:w="9016" w:type="dxa"/>
        <w:tblBorders>
          <w:top w:val="none" w:sz="0" w:space="0" w:color="auto"/>
          <w:left w:val="none" w:sz="0" w:space="0" w:color="auto"/>
          <w:bottom w:val="none" w:sz="0" w:space="0" w:color="auto"/>
          <w:right w:val="none" w:sz="0" w:space="0" w:color="auto"/>
          <w:insideV w:val="none" w:sz="0" w:space="0" w:color="auto"/>
        </w:tblBorders>
        <w:tblCellMar>
          <w:top w:w="113" w:type="dxa"/>
        </w:tblCellMar>
        <w:tblLook w:val="04A0" w:firstRow="1" w:lastRow="0" w:firstColumn="1" w:lastColumn="0" w:noHBand="0" w:noVBand="1"/>
      </w:tblPr>
      <w:tblGrid>
        <w:gridCol w:w="990"/>
        <w:gridCol w:w="2040"/>
        <w:gridCol w:w="5986"/>
      </w:tblGrid>
      <w:tr>
        <w:tc>
          <w:tcPr>
            <w:tcW w:w="990" w:type="dxa"/>
            <w:shd w:val="clear" w:color="auto" w:fill="F2F2F2"/>
          </w:tcPr>
          <w:p>
            <w:pPr>
              <w:widowControl w:val="0"/>
              <w:spacing w:before="0" w:line="276" w:lineRule="auto"/>
              <w:rPr>
                <w:b/>
                <w:bCs/>
              </w:rPr>
            </w:pPr>
            <w:r>
              <w:rPr>
                <w:b/>
                <w:bCs/>
              </w:rPr>
              <w:t>Version</w:t>
            </w:r>
          </w:p>
        </w:tc>
        <w:tc>
          <w:tcPr>
            <w:tcW w:w="2040" w:type="dxa"/>
            <w:shd w:val="clear" w:color="auto" w:fill="F2F2F2"/>
          </w:tcPr>
          <w:p>
            <w:pPr>
              <w:widowControl w:val="0"/>
              <w:spacing w:before="0" w:line="276" w:lineRule="auto"/>
              <w:rPr>
                <w:b/>
                <w:bCs/>
              </w:rPr>
            </w:pPr>
            <w:r>
              <w:rPr>
                <w:b/>
                <w:bCs/>
              </w:rPr>
              <w:t>Date</w:t>
            </w:r>
          </w:p>
        </w:tc>
        <w:tc>
          <w:tcPr>
            <w:tcW w:w="5986" w:type="dxa"/>
            <w:shd w:val="clear" w:color="auto" w:fill="F2F2F2"/>
          </w:tcPr>
          <w:p>
            <w:pPr>
              <w:widowControl w:val="0"/>
              <w:spacing w:before="0" w:line="276" w:lineRule="auto"/>
              <w:rPr>
                <w:b/>
                <w:bCs/>
              </w:rPr>
            </w:pPr>
            <w:r>
              <w:rPr>
                <w:b/>
                <w:bCs/>
              </w:rPr>
              <w:t>Comments</w:t>
            </w:r>
          </w:p>
        </w:tc>
      </w:tr>
      <w:tr>
        <w:tc>
          <w:tcPr>
            <w:tcW w:w="990" w:type="dxa"/>
          </w:tcPr>
          <w:p>
            <w:pPr>
              <w:widowControl w:val="0"/>
              <w:spacing w:before="0" w:line="276" w:lineRule="auto"/>
              <w:rPr>
                <w:sz w:val="20"/>
                <w:szCs w:val="20"/>
              </w:rPr>
            </w:pPr>
            <w:r>
              <w:rPr>
                <w:sz w:val="20"/>
                <w:szCs w:val="20"/>
              </w:rPr>
              <w:t>1.0</w:t>
            </w:r>
          </w:p>
        </w:tc>
        <w:tc>
          <w:tcPr>
            <w:tcW w:w="2040" w:type="dxa"/>
          </w:tcPr>
          <w:p>
            <w:pPr>
              <w:widowControl w:val="0"/>
              <w:spacing w:before="0" w:line="276" w:lineRule="auto"/>
              <w:rPr>
                <w:sz w:val="20"/>
                <w:szCs w:val="20"/>
              </w:rPr>
            </w:pPr>
            <w:r>
              <w:rPr>
                <w:sz w:val="20"/>
                <w:szCs w:val="20"/>
              </w:rPr>
              <w:t>28 June 2018</w:t>
            </w:r>
          </w:p>
        </w:tc>
        <w:tc>
          <w:tcPr>
            <w:tcW w:w="5986" w:type="dxa"/>
          </w:tcPr>
          <w:p>
            <w:pPr>
              <w:widowControl w:val="0"/>
              <w:spacing w:before="0" w:line="276" w:lineRule="auto"/>
              <w:rPr>
                <w:sz w:val="20"/>
                <w:szCs w:val="20"/>
              </w:rPr>
            </w:pPr>
            <w:r>
              <w:rPr>
                <w:sz w:val="20"/>
                <w:szCs w:val="20"/>
              </w:rPr>
              <w:t>Issued.</w:t>
            </w:r>
          </w:p>
        </w:tc>
      </w:tr>
      <w:tr>
        <w:tc>
          <w:tcPr>
            <w:tcW w:w="990" w:type="dxa"/>
          </w:tcPr>
          <w:p>
            <w:pPr>
              <w:widowControl w:val="0"/>
              <w:spacing w:before="0" w:line="276" w:lineRule="auto"/>
              <w:rPr>
                <w:sz w:val="20"/>
                <w:szCs w:val="20"/>
              </w:rPr>
            </w:pPr>
            <w:r/>
          </w:p>
        </w:tc>
        <w:tc>
          <w:tcPr>
            <w:tcW w:w="2040" w:type="dxa"/>
          </w:tcPr>
          <w:p>
            <w:pPr>
              <w:widowControl w:val="0"/>
              <w:spacing w:before="0" w:line="276" w:lineRule="auto"/>
              <w:rPr>
                <w:sz w:val="20"/>
                <w:szCs w:val="20"/>
              </w:rPr>
            </w:pPr>
            <w:r/>
          </w:p>
        </w:tc>
        <w:tc>
          <w:tcPr>
            <w:tcW w:w="5986" w:type="dxa"/>
          </w:tcPr>
          <w:p>
            <w:pPr>
              <w:widowControl w:val="0"/>
              <w:spacing w:before="0" w:line="276" w:lineRule="auto"/>
              <w:rPr>
                <w:sz w:val="20"/>
                <w:szCs w:val="20"/>
              </w:rPr>
            </w:pPr>
            <w:r/>
          </w:p>
        </w:tc>
      </w:tr>
    </w:tbl>
    <w:p>
      <w:pPr>
        <w:widowControl w:val="0"/>
        <w:spacing w:before="0" w:line="276" w:lineRule="auto"/>
      </w:pPr>
    </w:p>
    <w:p>
      <w:pPr>
        <w:keepLines/>
        <w:widowControl w:val="0"/>
        <w:spacing w:before="0" w:after="80" w:line="276" w:lineRule="auto"/>
        <w:outlineLvl w:val="0"/>
        <w:rPr>
          <w:color w:val="001C4A"/>
          <w:sz w:val="40"/>
          <w:szCs w:val="40"/>
        </w:rPr>
      </w:pPr>
      <w:r>
        <w:rPr>
          <w:color w:val="001C4A"/>
          <w:sz w:val="40"/>
          <w:szCs w:val="40"/>
        </w:rPr>
        <w:br w:type="page"/>
      </w:r>
      <w:r>
        <w:rPr>
          <w:color w:val="001C4A"/>
          <w:sz w:val="40"/>
          <w:szCs w:val="40"/>
        </w:rPr>
        <w:t>About Retention and Disposal Authorities</w:t>
      </w:r>
    </w:p>
    <w:p>
      <w:pPr>
        <w:keepLines/>
        <w:widowControl w:val="0"/>
        <w:spacing w:before="0" w:after="80" w:line="276" w:lineRule="auto"/>
        <w:outlineLvl w:val="1"/>
        <w:rPr>
          <w:color w:val="001C4A"/>
          <w:sz w:val="32"/>
          <w:szCs w:val="32"/>
        </w:rPr>
      </w:pPr>
      <w:r>
        <w:rPr>
          <w:color w:val="001C4A"/>
          <w:sz w:val="32"/>
          <w:szCs w:val="32"/>
        </w:rPr>
        <w:t>Purpose of the authority</w:t>
      </w:r>
    </w:p>
    <w:p>
      <w:pPr>
        <w:widowControl w:val="0"/>
        <w:spacing w:before="0" w:line="276" w:lineRule="auto"/>
      </w:pPr>
      <w:bookmarkStart w:id="0" w:name="_Hlk175559595"/>
      <w:r>
        <w:t xml:space="preserve">The purpose of this retention and disposal authority is to identify those records (all formats) created and received by NSW public offices which are required as State archives and to provide approval for the destruction of certain other records created and received by NSW public offices, after minimum retention periods have been met. </w:t>
      </w:r>
    </w:p>
    <w:p>
      <w:pPr>
        <w:widowControl w:val="0"/>
        <w:spacing w:before="0" w:line="276" w:lineRule="auto"/>
      </w:pPr>
      <w:r>
        <w:t xml:space="preserve">The approval for disposal is given under the provisions of the </w:t>
      </w:r>
      <w:r>
        <w:rPr>
          <w:i/>
          <w:iCs/>
        </w:rPr>
        <w:t>State Records Act 1998</w:t>
      </w:r>
      <w:r>
        <w:t xml:space="preserve"> only and does not override any other obligations of a public office to retain records.</w:t>
      </w:r>
    </w:p>
    <w:p>
      <w:pPr>
        <w:widowControl w:val="0"/>
        <w:spacing w:before="0" w:line="276" w:lineRule="auto"/>
      </w:pPr>
      <w:r>
        <w:t xml:space="preserve">The records retention and disposal practices outlined in this authority are approved under section 21(2)(c) of the </w:t>
      </w:r>
      <w:r>
        <w:rPr>
          <w:i/>
        </w:rPr>
        <w:t>State Records Act 1998 (NSW).</w:t>
      </w:r>
    </w:p>
    <w:p>
      <w:pPr>
        <w:widowControl w:val="0"/>
        <w:spacing w:before="0" w:line="276" w:lineRule="auto"/>
        <w:rPr>
          <w:sz w:val="12"/>
          <w:szCs w:val="12"/>
        </w:rPr>
      </w:pPr>
    </w:p>
    <w:p>
      <w:pPr>
        <w:keepLines/>
        <w:widowControl w:val="0"/>
        <w:spacing w:before="0" w:after="80" w:line="276" w:lineRule="auto"/>
        <w:outlineLvl w:val="1"/>
        <w:rPr>
          <w:color w:val="001C4A"/>
          <w:sz w:val="32"/>
          <w:szCs w:val="32"/>
        </w:rPr>
      </w:pPr>
      <w:r>
        <w:rPr>
          <w:color w:val="001C4A"/>
          <w:sz w:val="32"/>
          <w:szCs w:val="32"/>
        </w:rPr>
        <w:t>The retention and disposal of State records</w:t>
      </w:r>
    </w:p>
    <w:p>
      <w:pPr>
        <w:widowControl w:val="0"/>
        <w:spacing w:before="0" w:line="276" w:lineRule="auto"/>
        <w:contextualSpacing/>
      </w:pPr>
      <w:r>
        <w:t xml:space="preserve">Part 3 (Protection of State Records) of the Act provides that records are not to be disposed of without the consent of the State Records Authority NSW (State Records NSW) with certain defined exceptions. These exceptions include:</w:t>
      </w:r>
    </w:p>
    <w:p>
      <w:pPr>
        <w:widowControl w:val="0"/>
        <w:numPr>
          <w:ilvl w:val="1"/>
          <w:numId w:val="3"/>
        </w:numPr>
        <w:spacing w:before="0" w:line="276" w:lineRule="auto"/>
        <w:ind w:left="786"/>
        <w:contextualSpacing/>
      </w:pPr>
      <w:r>
        <w:t xml:space="preserve">an action of disposal which is positively required by law. This includes records retention and disposal authorities issued by State Records NSW and other legislation that requires the destruction of records. The </w:t>
      </w:r>
      <w:r>
        <w:rPr>
          <w:i/>
          <w:iCs/>
        </w:rPr>
        <w:t>State Records Regulation 2024</w:t>
      </w:r>
      <w:r>
        <w:t xml:space="preserve"> Schedule 1 lists some of the legislation that authorises the destruction of records.</w:t>
      </w:r>
    </w:p>
    <w:p>
      <w:pPr>
        <w:widowControl w:val="0"/>
        <w:numPr>
          <w:ilvl w:val="1"/>
          <w:numId w:val="3"/>
        </w:numPr>
        <w:spacing w:before="0" w:line="276" w:lineRule="auto"/>
        <w:ind w:left="786"/>
        <w:contextualSpacing/>
      </w:pPr>
      <w:r>
        <w:t xml:space="preserve">an action of disposal which takes place in accordance with a normal administrative practice (NAP) of the State Records Regulation of which State Records NSW does not disapprove.</w:t>
      </w:r>
    </w:p>
    <w:p>
      <w:pPr>
        <w:widowControl w:val="0"/>
        <w:spacing w:before="0" w:line="276" w:lineRule="auto"/>
        <w:contextualSpacing/>
      </w:pPr>
    </w:p>
    <w:p>
      <w:pPr>
        <w:widowControl w:val="0"/>
        <w:spacing w:before="0" w:line="276" w:lineRule="auto"/>
        <w:contextualSpacing/>
      </w:pPr>
      <w:r>
        <w:rPr>
          <w:noProof/>
        </w:rPr>
        <mc:AlternateContent>
          <mc:Choice Requires="wps">
            <w:drawing>
              <wp:anchor distT="45720" distB="45720" distL="114300" distR="114300" simplePos="0" relativeHeight="251662336" behindDoc="1" locked="0" layoutInCell="1" allowOverlap="1" wp14:anchorId="1C0EA2E7" wp14:editId="7C925A0E">
                <wp:simplePos x="0" y="0"/>
                <wp:positionH relativeFrom="margin">
                  <wp:align>right</wp:align>
                </wp:positionH>
                <wp:positionV relativeFrom="paragraph">
                  <wp:posOffset>625475</wp:posOffset>
                </wp:positionV>
                <wp:extent cx="5749290" cy="2524125"/>
                <wp:effectExtent l="0" t="0" r="3810" b="9525"/>
                <wp:wrapTight wrapText="bothSides">
                  <wp:wrapPolygon edited="0">
                    <wp:start x="0" y="0"/>
                    <wp:lineTo x="0" y="21518"/>
                    <wp:lineTo x="21543" y="21518"/>
                    <wp:lineTo x="21543"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9290" cy="2524125"/>
                        </a:xfrm>
                        <a:prstGeom prst="rect">
                          <a:avLst/>
                        </a:prstGeom>
                        <a:solidFill>
                          <a:srgbClr val="FFFFFF">
                            <a:lumMod val="95000"/>
                          </a:srgbClr>
                        </a:solidFill>
                        <a:ln w="12700" cap="flat" cmpd="sng" algn="ctr">
                          <a:noFill/>
                          <a:prstDash val="solid"/>
                          <a:headEnd/>
                          <a:tailEnd/>
                        </a:ln>
                        <a:effectLst/>
                      </wps:spPr>
                      <wps:txbx>
                        <w:txbxContent>
                          <w:p>
                            <w:pPr>
                              <w:widowControl w:val="0"/>
                              <w:spacing w:before="0" w:line="276" w:lineRule="auto"/>
                              <w:contextualSpacing/>
                              <w:rPr>
                                <w:b/>
                                <w:bCs/>
                              </w:rPr>
                            </w:pPr>
                            <w:r>
                              <w:rPr>
                                <w:b/>
                                <w:bCs/>
                              </w:rPr>
                              <w:t>Note:</w:t>
                            </w:r>
                          </w:p>
                          <w:p>
                            <w:pPr>
                              <w:pStyle w:val="ListParagraph"/>
                              <w:widowControl w:val="0"/>
                              <w:numPr>
                                <w:ilvl w:val="0"/>
                                <w:numId w:val="7"/>
                              </w:numPr>
                              <w:spacing w:before="0" w:line="276" w:lineRule="auto"/>
                            </w:pPr>
                            <w:r>
                              <w:t xml:space="preserve">While State Records NSW gives approval for the destruction of certain records after minimum retention periods have been met in this retention and disposal authority, </w:t>
                            </w:r>
                            <w:r>
                              <w:rPr>
                                <w:u w:val="single"/>
                              </w:rPr>
                              <w:t xml:space="preserve">it does not compel destruction of records.</w:t>
                            </w:r>
                            <w:r>
                              <w:t xml:space="preserve"> Public offices are responsible for determining whether there are business or other needs for retaining records beyond the minimum retention periods set out in this authority.</w:t>
                            </w:r>
                          </w:p>
                          <w:p>
                            <w:pPr>
                              <w:pStyle w:val="ListParagraph"/>
                              <w:widowControl w:val="0"/>
                              <w:spacing w:before="0" w:line="276" w:lineRule="auto"/>
                              <w:ind w:left="360"/>
                              <w:rPr>
                                <w:sz w:val="10"/>
                                <w:szCs w:val="10"/>
                              </w:rPr>
                            </w:pPr>
                          </w:p>
                          <w:p>
                            <w:pPr>
                              <w:pStyle w:val="ListParagraph"/>
                              <w:widowControl w:val="0"/>
                              <w:numPr>
                                <w:ilvl w:val="0"/>
                                <w:numId w:val="7"/>
                              </w:numPr>
                              <w:spacing w:line="276" w:lineRule="auto"/>
                            </w:pPr>
                            <w:r>
                              <w:t xml:space="preserve">A public office </w:t>
                            </w:r>
                            <w:r>
                              <w:rPr>
                                <w:u w:val="single"/>
                              </w:rPr>
                              <w:t xml:space="preserve">must not dispose of any records where the public office is aware of possible legal action</w:t>
                            </w:r>
                            <w:r>
                              <w:t xml:space="preserve"> (including legal discovery, court cases, formal applications for access (GIPA)) where the records may be required as evidence.</w:t>
                            </w:r>
                          </w:p>
                          <w:p>
                            <w:pPr>
                              <w:widowControl w:val="0"/>
                              <w:spacing w:before="0" w:after="0" w:line="276" w:lineRule="auto"/>
                              <w:rPr>
                                <w:sz w:val="8"/>
                                <w:szCs w:val="8"/>
                              </w:rPr>
                            </w:pPr>
                          </w:p>
                          <w:p>
                            <w:pPr>
                              <w:pStyle w:val="ListParagraph"/>
                              <w:widowControl w:val="0"/>
                              <w:numPr>
                                <w:ilvl w:val="0"/>
                                <w:numId w:val="7"/>
                              </w:numPr>
                              <w:spacing w:before="0" w:line="276" w:lineRule="auto"/>
                            </w:pPr>
                            <w:r>
                              <w:t xml:space="preserve">For </w:t>
                            </w:r>
                            <w:r>
                              <w:rPr>
                                <w:u w:val="single"/>
                              </w:rPr>
                              <w:t xml:space="preserve">records that are severely damaged</w:t>
                            </w:r>
                            <w:r>
                              <w:t xml:space="preserve"> by fire, flood, mould, neglect etc. or for digital records that are unreadable or inaccessible, contact State Records NSW immediately when identified.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C0EA2E7" id="_x0000_t202" coordsize="21600,21600" o:spt="202" path="m,l,21600r21600,l21600,xe">
                <v:stroke joinstyle="miter"/>
                <v:path gradientshapeok="t" o:connecttype="rect"/>
              </v:shapetype>
              <v:shape id="Text Box 2" o:spid="_x0000_s1026" type="#_x0000_t202" style="position:absolute;margin-left:401.5pt;margin-top:49.25pt;width:452.7pt;height:198.75pt;z-index:-251654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" fillcolor="#f2f2f2" stroked="f" strokeweight="1pt">
                <v:textbox>
                  <w:txbxContent>
                    <w:p>
                      <w:pPr>
                        <w:widowControl w:val="0"/>
                        <w:spacing w:before="0" w:line="276" w:lineRule="auto"/>
                        <w:contextualSpacing/>
                        <w:rPr>
                          <w:b/>
                          <w:bCs/>
                        </w:rPr>
                      </w:pPr>
                      <w:r>
                        <w:rPr>
                          <w:b/>
                          <w:bCs/>
                        </w:rPr>
                        <w:t>Note:</w:t>
                      </w:r>
                    </w:p>
                    <w:p>
                      <w:pPr>
                        <w:pStyle w:val="ListParagraph"/>
                        <w:widowControl w:val="0"/>
                        <w:numPr>
                          <w:ilvl w:val="0"/>
                          <w:numId w:val="7"/>
                        </w:numPr>
                        <w:spacing w:before="0" w:line="276" w:lineRule="auto"/>
                        <w:rPr>
                          <w:rFonts w:cs="Arial"/>
                        </w:rPr>
                      </w:pPr>
                      <w:r>
                        <w:t xml:space="preserve">While State Records NSW gives approval for the destruction of certain records after minimum retention periods have been met in this retention and disposal authority, </w:t>
                      </w:r>
                      <w:r>
                        <w:rPr>
                          <w:u w:val="single"/>
                        </w:rPr>
                        <w:t xml:space="preserve">it does not compel destruction of records.</w:t>
                      </w:r>
                      <w:r>
                        <w:t xml:space="preserve"> Public offices are responsible for determining whether there are business or other needs for retaining records beyond the minimum retention periods set out in this authority.</w:t>
                      </w:r>
                    </w:p>
                    <w:p>
                      <w:pPr>
                        <w:pStyle w:val="ListParagraph"/>
                        <w:widowControl w:val="0"/>
                        <w:spacing w:before="0" w:line="276" w:lineRule="auto"/>
                        <w:ind w:left="360"/>
                        <w:rPr>
                          <w:sz w:val="10"/>
                          <w:szCs w:val="10"/>
                        </w:rPr>
                      </w:pPr>
                    </w:p>
                    <w:p>
                      <w:pPr>
                        <w:pStyle w:val="ListParagraph"/>
                        <w:widowControl w:val="0"/>
                        <w:numPr>
                          <w:ilvl w:val="0"/>
                          <w:numId w:val="7"/>
                        </w:numPr>
                        <w:spacing w:line="276" w:lineRule="auto"/>
                      </w:pPr>
                      <w:r>
                        <w:t xml:space="preserve">A public office </w:t>
                      </w:r>
                      <w:r>
                        <w:rPr>
                          <w:u w:val="single"/>
                        </w:rPr>
                        <w:t xml:space="preserve">must not dispose of any records where the public office is aware of possible legal action</w:t>
                      </w:r>
                      <w:r>
                        <w:t xml:space="preserve"> (including legal discovery, court cases, formal applications for access (GIPA)) where the records may be required as evidence.</w:t>
                      </w:r>
                    </w:p>
                    <w:p>
                      <w:pPr>
                        <w:widowControl w:val="0"/>
                        <w:spacing w:before="0" w:after="0" w:line="276" w:lineRule="auto"/>
                        <w:rPr>
                          <w:sz w:val="8"/>
                          <w:szCs w:val="8"/>
                        </w:rPr>
                      </w:pPr>
                    </w:p>
                    <w:p>
                      <w:pPr>
                        <w:pStyle w:val="ListParagraph"/>
                        <w:widowControl w:val="0"/>
                        <w:numPr>
                          <w:ilvl w:val="0"/>
                          <w:numId w:val="7"/>
                        </w:numPr>
                        <w:spacing w:before="0" w:line="276" w:lineRule="auto"/>
                      </w:pPr>
                      <w:r>
                        <w:t xml:space="preserve">For </w:t>
                      </w:r>
                      <w:r>
                        <w:rPr>
                          <w:u w:val="single"/>
                        </w:rPr>
                        <w:t>records that are severely damaged</w:t>
                      </w:r>
                      <w:r>
                        <w:t xml:space="preserve"> by fire, flood, mould, neglect etc. or for digital records that are unreadable or inaccessible, contact State Records NSW immediately when identified.</w:t>
                      </w:r>
                    </w:p>
                  </w:txbxContent>
                </v:textbox>
                <w10:wrap type="tight" anchorx="margin"/>
              </v:shape>
            </w:pict>
          </mc:Fallback>
        </mc:AlternateContent>
      </w:r>
      <w:r>
        <w:t xml:space="preserve">The authority establishes how long different classes of records generated by a public office must be kept to meet its legal, operational and other requirements, and whether the records are required as State archives.</w:t>
      </w:r>
    </w:p>
    <w:p>
      <w:pPr>
        <w:widowControl w:val="0"/>
        <w:spacing w:before="0" w:line="276" w:lineRule="auto"/>
      </w:pPr>
      <w:r>
        <w:t xml:space="preserve">State Records NSW reviews and approves public offices' retention and disposal authorities under the State Records Act. State Records NSW’s decisions consider both the administrative requirements of public offices in discharging their functional responsibilities and the potential future use of the records by the NSW Government and the public.</w:t>
      </w:r>
    </w:p>
    <w:p>
      <w:pPr>
        <w:widowControl w:val="0"/>
        <w:spacing w:before="0" w:line="276" w:lineRule="auto"/>
      </w:pPr>
      <w:r>
        <w:t xml:space="preserve">It is the duty of a public office, in submitting a draft retention and disposal authority for approval, to disclose to State Records NSW any information which affects the retention of the records covered by the authority.</w:t>
      </w:r>
    </w:p>
    <w:p>
      <w:pPr>
        <w:widowControl w:val="0"/>
        <w:spacing w:before="0" w:line="276" w:lineRule="auto"/>
      </w:pPr>
      <w:r>
        <w:t xml:space="preserve">Retention and disposal authorities identify some records as State archives. These are records which document the authority and functions of Government, its decision-making processes and the implementation and outcomes of those decisions, including the nature of their influence and effect on communities, environment and individual lives. Criteria for the identification of State archives are listed in the </w:t>
      </w:r>
      <w:r>
        <w:rPr>
          <w:i/>
        </w:rPr>
        <w:t>Building the Archives Policy</w:t>
      </w:r>
      <w:r>
        <w:t xml:space="preserve">. The Policy also explains the roles and responsibilities of State Records NSW and of public offices in undertaking appraisal processes and disposal activities.</w:t>
      </w:r>
    </w:p>
    <w:p>
      <w:pPr>
        <w:widowControl w:val="0"/>
        <w:spacing w:before="0" w:line="276" w:lineRule="auto"/>
      </w:pPr>
      <w:r>
        <w:t xml:space="preserve">Retention and disposal authorities have been designed to link records to the functions they document rather than to organisational structure (i.e. departments or clusters). </w:t>
      </w:r>
    </w:p>
    <w:p>
      <w:pPr>
        <w:widowControl w:val="0"/>
        <w:spacing w:before="0" w:line="276" w:lineRule="auto"/>
        <w:contextualSpacing/>
      </w:pPr>
      <w:r>
        <w:t xml:space="preserve">Public offices must ensure when outsourcing that service providers are aware of their recordkeeping obligations to apply relevant retention and disposal authorities. </w:t>
      </w:r>
    </w:p>
    <w:p>
      <w:pPr>
        <w:widowControl w:val="0"/>
        <w:spacing w:before="0" w:after="0" w:line="276" w:lineRule="auto"/>
      </w:pPr>
    </w:p>
    <w:p>
      <w:pPr>
        <w:widowControl w:val="0"/>
        <w:spacing w:before="0" w:line="276" w:lineRule="auto"/>
        <w:rPr>
          <w:b/>
          <w:bCs/>
        </w:rPr>
      </w:pPr>
      <w:r>
        <w:rPr>
          <w:b/>
          <w:bCs/>
        </w:rPr>
        <w:t>Normal administrative practice (NAP)</w:t>
      </w:r>
    </w:p>
    <w:p>
      <w:pPr>
        <w:widowControl w:val="0"/>
        <w:spacing w:before="0" w:line="276" w:lineRule="auto"/>
      </w:pPr>
      <w:r>
        <w:t xml:space="preserve">Another means to lawfully dispose of State records is in accordance with the normal administrative practice provisions (NAP) of the State Records Act which allow for the disposal of certain types of facilitative and duplicate records.</w:t>
      </w:r>
    </w:p>
    <w:p>
      <w:pPr>
        <w:widowControl w:val="0"/>
        <w:spacing w:before="0" w:line="276" w:lineRule="auto"/>
        <w:rPr>
          <w:i/>
          <w:iCs/>
        </w:rPr>
      </w:pPr>
      <w:r>
        <w:t xml:space="preserve">Public offices should produce internal policies and procedures to further define what is meant by and what are acceptable NAP for their own organisation. Examples of NAP include duplicates of records, some drafts, working papers, unused stationary. </w:t>
      </w:r>
      <w:r>
        <w:rPr>
          <w:i/>
          <w:iCs/>
        </w:rPr>
        <w:t xml:space="preserve">See State Records Act 1998, section 22 and State Records Regulation 2024, Schedule 2.</w:t>
      </w:r>
    </w:p>
    <w:p>
      <w:pPr>
        <w:widowControl w:val="0"/>
        <w:spacing w:before="0" w:line="276" w:lineRule="auto"/>
      </w:pPr>
      <w:r>
        <w:t xml:space="preserve">Records covered by the normal administrative practice provisions of the Act are not included in records retention and disposal authorities.</w:t>
      </w:r>
    </w:p>
    <w:p>
      <w:pPr>
        <w:widowControl w:val="0"/>
        <w:spacing w:before="0" w:line="276" w:lineRule="auto"/>
        <w:rPr>
          <w:i/>
          <w:iCs/>
        </w:rPr>
      </w:pPr>
    </w:p>
    <w:bookmarkEnd w:id="0"/>
    <w:p>
      <w:pPr>
        <w:keepLines/>
        <w:widowControl w:val="0"/>
        <w:spacing w:before="0" w:after="80" w:line="276" w:lineRule="auto"/>
        <w:outlineLvl w:val="1"/>
        <w:rPr>
          <w:color w:val="001C4A"/>
          <w:sz w:val="32"/>
          <w:szCs w:val="32"/>
        </w:rPr>
      </w:pPr>
      <w:r>
        <w:rPr>
          <w:color w:val="001C4A"/>
          <w:sz w:val="32"/>
          <w:szCs w:val="32"/>
        </w:rPr>
        <w:t>Implementing the authority</w:t>
      </w:r>
    </w:p>
    <w:p>
      <w:pPr>
        <w:widowControl w:val="0"/>
        <w:spacing w:before="0" w:line="276" w:lineRule="auto"/>
      </w:pPr>
      <w:bookmarkStart w:id="1" w:name="_Hlk175559668"/>
      <w:r>
        <w:t xml:space="preserve">This retention and disposal authority covers records controlled by the public office and applies only to the records or classes of records described in the authority. The authority should be implemented as part of the records management program of the public office. </w:t>
      </w:r>
      <w:bookmarkStart w:id="2" w:name="_Hlk174020171"/>
    </w:p>
    <w:p>
      <w:pPr>
        <w:widowControl w:val="0"/>
        <w:spacing w:before="0" w:line="276" w:lineRule="auto"/>
      </w:pPr>
      <w:r>
        <w:t>Two primary objectives of a records management program are to:</w:t>
      </w:r>
    </w:p>
    <w:p>
      <w:pPr>
        <w:widowControl w:val="0"/>
        <w:numPr>
          <w:ilvl w:val="0"/>
          <w:numId w:val="4"/>
        </w:numPr>
        <w:spacing w:before="0" w:line="276" w:lineRule="auto"/>
        <w:contextualSpacing/>
      </w:pPr>
      <w:r>
        <w:t xml:space="preserve">ensure that records are kept for as long as they are of value to the public office and its stakeholders</w:t>
      </w:r>
    </w:p>
    <w:p>
      <w:pPr>
        <w:widowControl w:val="0"/>
        <w:numPr>
          <w:ilvl w:val="0"/>
          <w:numId w:val="4"/>
        </w:numPr>
        <w:spacing w:before="0" w:line="276" w:lineRule="auto"/>
        <w:contextualSpacing/>
      </w:pPr>
      <w:r>
        <w:t xml:space="preserve">enable the destruction of records or transfer of State archives once they are no longer required for business or operational purposes.</w:t>
      </w:r>
    </w:p>
    <w:p>
      <w:pPr>
        <w:widowControl w:val="0"/>
        <w:spacing w:before="0" w:line="276" w:lineRule="auto"/>
        <w:ind w:left="720"/>
        <w:contextualSpacing/>
      </w:pPr>
      <w:r/>
    </w:p>
    <w:bookmarkEnd w:id="1"/>
    <w:bookmarkEnd w:id="2"/>
    <w:p>
      <w:pPr>
        <w:widowControl w:val="0"/>
        <w:spacing w:before="0" w:line="276" w:lineRule="auto"/>
        <w:ind w:left="720"/>
        <w:contextualSpacing/>
        <w:rPr>
          <w:sz w:val="10"/>
          <w:szCs w:val="10"/>
        </w:rPr>
      </w:pPr>
    </w:p>
    <w:tbl>
      <w:tblPr>
        <w:tblW w:w="5157" w:type="pct"/>
        <w:tblInd w:w="-284" w:type="dxa"/>
        <w:tblBorders>
          <w:right w:val="single" w:sz="4" w:space="0" w:color="auto"/>
          <w:insideH w:val="single" w:sz="4" w:space="0" w:color="auto"/>
        </w:tblBorders>
        <w:tblCellMar>
          <w:top w:w="57" w:type="dxa"/>
          <w:left w:w="113" w:type="dxa"/>
          <w:right w:w="56" w:type="dxa"/>
        </w:tblCellMar>
        <w:tblLook w:val="0000" w:firstRow="0" w:lastRow="0" w:firstColumn="0" w:lastColumn="0" w:noHBand="0" w:noVBand="0"/>
      </w:tblPr>
      <w:tblGrid>
        <w:gridCol w:w="1418"/>
        <w:gridCol w:w="7938"/>
      </w:tblGrid>
      <w:tr>
        <w:trPr>
          <w:cantSplit/>
        </w:trPr>
        <w:tc>
          <w:tcPr>
            <w:tcW w:w="758" w:type="pct"/>
            <w:shd w:val="clear" w:color="auto" w:fill="FFFFFF"/>
          </w:tcPr>
          <w:p>
            <w:pPr>
              <w:widowControl w:val="0"/>
              <w:spacing w:before="0" w:line="276" w:lineRule="auto"/>
              <w:rPr>
                <w:b/>
                <w:bCs/>
              </w:rPr>
            </w:pPr>
            <w:bookmarkStart w:id="3" w:name="_Hlk175559690"/>
            <w:r>
              <w:rPr>
                <w:b/>
                <w:bCs/>
              </w:rPr>
              <w:t>Sentencing records</w:t>
            </w:r>
          </w:p>
          <w:p>
            <w:pPr>
              <w:widowControl w:val="0"/>
              <w:spacing w:before="0" w:line="276" w:lineRule="auto"/>
              <w:ind w:left="360"/>
              <w:rPr>
                <w:b/>
                <w:iCs/>
              </w:rPr>
            </w:pPr>
          </w:p>
        </w:tc>
        <w:tc>
          <w:tcPr>
            <w:tcW w:w="4242" w:type="pct"/>
            <w:tcBorders>
              <w:right w:val="nil"/>
            </w:tcBorders>
          </w:tcPr>
          <w:p>
            <w:pPr>
              <w:widowControl w:val="0"/>
              <w:spacing w:before="0" w:line="276" w:lineRule="auto"/>
            </w:pPr>
            <w:r>
              <w:t xml:space="preserve">Sentencing is the examination of records to identify the disposal class in the authority to which they belong. This process enables the public office to determine the appropriate retention period and disposal action for the records. </w:t>
            </w:r>
          </w:p>
          <w:p>
            <w:pPr>
              <w:widowControl w:val="0"/>
              <w:spacing w:before="0" w:line="276" w:lineRule="auto"/>
            </w:pPr>
            <w:r>
              <w:t xml:space="preserve">It is recommended that this process be undertaken when a record is created.</w:t>
            </w:r>
          </w:p>
        </w:tc>
      </w:tr>
      <w:tr>
        <w:trPr>
          <w:cantSplit/>
        </w:trPr>
        <w:tc>
          <w:tcPr>
            <w:tcW w:w="758" w:type="pct"/>
            <w:shd w:val="clear" w:color="auto" w:fill="FFFFFF"/>
          </w:tcPr>
          <w:p>
            <w:pPr>
              <w:widowControl w:val="0"/>
              <w:spacing w:before="0" w:line="276" w:lineRule="auto"/>
              <w:rPr>
                <w:b/>
                <w:bCs/>
              </w:rPr>
            </w:pPr>
            <w:bookmarkStart w:id="4" w:name="_Hlk175559701"/>
            <w:bookmarkEnd w:id="3"/>
            <w:r>
              <w:rPr>
                <w:b/>
                <w:bCs/>
              </w:rPr>
              <w:t>Digitised records</w:t>
            </w:r>
          </w:p>
          <w:p>
            <w:pPr>
              <w:widowControl w:val="0"/>
              <w:spacing w:before="0" w:line="276" w:lineRule="auto"/>
              <w:ind w:left="360"/>
              <w:rPr>
                <w:b/>
                <w:bCs/>
              </w:rPr>
            </w:pPr>
          </w:p>
        </w:tc>
        <w:tc>
          <w:tcPr>
            <w:tcW w:w="4242" w:type="pct"/>
            <w:tcBorders>
              <w:right w:val="nil"/>
            </w:tcBorders>
          </w:tcPr>
          <w:p>
            <w:pPr>
              <w:widowControl w:val="0"/>
              <w:spacing w:before="0" w:line="276" w:lineRule="auto"/>
            </w:pPr>
            <w:r>
              <w:t xml:space="preserve">Where the format of records has changed (for example, from paper-based to digital) disposal actions in the authority still apply to the records. The digitised versions of records are to be retained for the minimum retention periods in a retention and disposal authority or managed as State archives.</w:t>
            </w:r>
          </w:p>
          <w:p>
            <w:pPr>
              <w:widowControl w:val="0"/>
              <w:spacing w:before="0" w:line="276" w:lineRule="auto"/>
            </w:pPr>
            <w:r>
              <w:t xml:space="preserve">Where a record is copied (for example, digitally imaged or microfilmed) the original should only be disposed of with authorisation under the </w:t>
            </w:r>
            <w:r>
              <w:rPr>
                <w:i/>
              </w:rPr>
              <w:t xml:space="preserve">General retention and disposal authority – original or source records that have been copied</w:t>
            </w:r>
            <w:r>
              <w:t xml:space="preserve">. </w:t>
            </w:r>
          </w:p>
        </w:tc>
      </w:tr>
      <w:tr>
        <w:trPr>
          <w:cantSplit/>
        </w:trPr>
        <w:tc>
          <w:tcPr>
            <w:tcW w:w="758" w:type="pct"/>
            <w:shd w:val="clear" w:color="auto" w:fill="FFFFFF"/>
          </w:tcPr>
          <w:p>
            <w:pPr>
              <w:widowControl w:val="0"/>
              <w:spacing w:before="0" w:line="276" w:lineRule="auto"/>
              <w:rPr>
                <w:b/>
                <w:bCs/>
              </w:rPr>
            </w:pPr>
            <w:r>
              <w:rPr>
                <w:b/>
                <w:bCs/>
              </w:rPr>
              <w:t>Born digital records</w:t>
            </w:r>
          </w:p>
        </w:tc>
        <w:tc>
          <w:tcPr>
            <w:tcW w:w="4242" w:type="pct"/>
            <w:tcBorders>
              <w:right w:val="nil"/>
            </w:tcBorders>
          </w:tcPr>
          <w:p>
            <w:pPr>
              <w:widowControl w:val="0"/>
              <w:spacing w:before="0" w:line="276" w:lineRule="auto"/>
            </w:pPr>
            <w:r>
              <w:t xml:space="preserve">For records natively created in a digital format such as emails, Word documents, database records or created by artificial intelligence (AI) disposal actions in the authority still apply.</w:t>
            </w:r>
          </w:p>
          <w:p>
            <w:pPr>
              <w:widowControl w:val="0"/>
              <w:spacing w:before="0" w:line="276" w:lineRule="auto"/>
            </w:pPr>
            <w:r>
              <w:t xml:space="preserve">Born digital records and digitised records must be authentic, usable and accessible over the whole of their existence. The information contained in technology dependant records must be accessible for the period specified in the classes. Public offices will need to ensure that any software, hardware or documentation required for continuing access to technology dependent records is available for the retention period of the record. See the </w:t>
            </w:r>
            <w:r>
              <w:rPr>
                <w:i/>
                <w:iCs/>
              </w:rPr>
              <w:t>Digital records preservation policy.</w:t>
            </w:r>
            <w:r/>
          </w:p>
          <w:p>
            <w:pPr>
              <w:widowControl w:val="0"/>
              <w:spacing w:before="0" w:line="276" w:lineRule="auto"/>
            </w:pPr>
            <w:r>
              <w:t xml:space="preserve">Ensure metadata of the record clearly identifies and contextualises the information contained within to make searching and sentencing easy now and into the future. </w:t>
            </w:r>
          </w:p>
        </w:tc>
      </w:tr>
      <w:bookmarkEnd w:id="4"/>
      <w:tr>
        <w:trPr>
          <w:cantSplit/>
        </w:trPr>
        <w:tc>
          <w:tcPr>
            <w:tcW w:w="758" w:type="pct"/>
            <w:shd w:val="clear" w:color="auto" w:fill="FFFFFF"/>
          </w:tcPr>
          <w:p>
            <w:pPr>
              <w:widowControl w:val="0"/>
              <w:spacing w:before="0" w:line="276" w:lineRule="auto"/>
              <w:rPr>
                <w:b/>
                <w:iCs/>
              </w:rPr>
            </w:pPr>
            <w:r>
              <w:rPr>
                <w:b/>
                <w:iCs/>
              </w:rPr>
              <w:t>Records required as State archives</w:t>
            </w:r>
          </w:p>
        </w:tc>
        <w:tc>
          <w:tcPr>
            <w:tcW w:w="4242" w:type="pct"/>
            <w:tcBorders>
              <w:right w:val="nil"/>
            </w:tcBorders>
          </w:tcPr>
          <w:p>
            <w:pPr>
              <w:widowControl w:val="0"/>
              <w:spacing w:before="0" w:line="276" w:lineRule="auto"/>
            </w:pPr>
            <w:bookmarkStart w:id="5" w:name="_Hlk175559718"/>
            <w:r>
              <w:t xml:space="preserve">Records which are to be retained as State archives are identified with the disposal action 'Required as State archives'. These records should be stored in controlled environmental conditions. See the </w:t>
            </w:r>
            <w:r>
              <w:rPr>
                <w:i/>
                <w:iCs/>
              </w:rPr>
              <w:t>Standard on the physical storage of State records.</w:t>
            </w:r>
          </w:p>
          <w:p>
            <w:pPr>
              <w:widowControl w:val="0"/>
              <w:spacing w:before="0" w:line="276" w:lineRule="auto"/>
            </w:pPr>
            <w:r>
              <w:t xml:space="preserve">Transferring records identified as State archives and no longer in use for official purposes to Museums of History NSW should be a routine part of a public office's records management program.</w:t>
            </w:r>
            <w:bookmarkEnd w:id="5"/>
          </w:p>
        </w:tc>
      </w:tr>
      <w:tr>
        <w:trPr>
          <w:trHeight w:val="4085"/>
        </w:trPr>
        <w:tc>
          <w:tcPr>
            <w:tcW w:w="758" w:type="pct"/>
            <w:shd w:val="clear" w:color="auto" w:fill="FFFFFF"/>
          </w:tcPr>
          <w:p>
            <w:pPr>
              <w:widowControl w:val="0"/>
              <w:spacing w:before="0" w:line="276" w:lineRule="auto"/>
              <w:rPr>
                <w:b/>
                <w:iCs/>
              </w:rPr>
            </w:pPr>
            <w:r>
              <w:rPr>
                <w:b/>
                <w:iCs/>
              </w:rPr>
              <w:t>Records approved for destruction</w:t>
            </w:r>
          </w:p>
          <w:p>
            <w:pPr>
              <w:widowControl w:val="0"/>
              <w:spacing w:before="0" w:line="276" w:lineRule="auto"/>
              <w:rPr>
                <w:b/>
                <w:iCs/>
              </w:rPr>
            </w:pPr>
          </w:p>
          <w:p>
            <w:pPr>
              <w:widowControl w:val="0"/>
              <w:spacing w:before="0" w:line="276" w:lineRule="auto"/>
              <w:rPr>
                <w:b/>
                <w:iCs/>
              </w:rPr>
            </w:pPr>
          </w:p>
        </w:tc>
        <w:tc>
          <w:tcPr>
            <w:tcW w:w="4242" w:type="pct"/>
            <w:tcBorders>
              <w:right w:val="nil"/>
            </w:tcBorders>
          </w:tcPr>
          <w:p>
            <w:pPr>
              <w:widowControl w:val="0"/>
              <w:spacing w:before="0" w:line="276" w:lineRule="auto"/>
            </w:pPr>
            <w:bookmarkStart w:id="6" w:name="_Hlk175559732"/>
            <w:r>
              <w:t xml:space="preserve">Records that have been identified as being approved for destruction may only be destroyed once a public office has ensured that all other requirements for retaining the records are met. </w:t>
            </w:r>
          </w:p>
          <w:p>
            <w:pPr>
              <w:widowControl w:val="0"/>
              <w:spacing w:before="0" w:line="276" w:lineRule="auto"/>
            </w:pPr>
            <w:r>
              <w:t xml:space="preserve">Retention periods set down in this authority are </w:t>
            </w:r>
            <w:r>
              <w:rPr>
                <w:i/>
              </w:rPr>
              <w:t>minimum</w:t>
            </w:r>
            <w:r>
              <w:t xml:space="preserve"> periods only and a public office should keep records for a longer period if necessary. Reasons for longer retention can include legal requirements, administrative need, government directives and changing social or community expectations. </w:t>
            </w:r>
          </w:p>
          <w:p>
            <w:pPr>
              <w:widowControl w:val="0"/>
              <w:spacing w:before="0" w:line="276" w:lineRule="auto"/>
            </w:pPr>
            <w:r>
              <w:t xml:space="preserve">State Records NSW does not compel destruction. A public office </w:t>
            </w:r>
            <w:r>
              <w:rPr>
                <w:b/>
                <w:i/>
              </w:rPr>
              <w:t>must not</w:t>
            </w:r>
            <w:r>
              <w:t xml:space="preserve"> dispose of any records where the public office is aware of possible legal action (including legal discovery, court cases, formal applications for access (GIPA)) where the records may be required as evidence.</w:t>
            </w:r>
          </w:p>
          <w:p>
            <w:pPr>
              <w:widowControl w:val="0"/>
              <w:spacing w:before="0" w:line="276" w:lineRule="auto"/>
            </w:pPr>
            <w:r>
              <w:t xml:space="preserve">Once all requirements for retention have been met, destruction of records should be carried out securely and in an environmentally sound way. Relevant details of the destruction should be recorded. </w:t>
            </w:r>
            <w:bookmarkEnd w:id="6"/>
          </w:p>
        </w:tc>
      </w:tr>
    </w:tbl>
    <w:p>
      <w:pPr>
        <w:widowControl w:val="0"/>
        <w:spacing w:before="0" w:line="276" w:lineRule="auto"/>
        <w:rPr>
          <w:sz w:val="10"/>
          <w:szCs w:val="10"/>
        </w:rPr>
      </w:pPr>
      <w:bookmarkStart w:id="7" w:name="_Hlk175559739"/>
    </w:p>
    <w:p>
      <w:pPr>
        <w:widowControl w:val="0"/>
        <w:spacing w:before="0" w:line="276" w:lineRule="auto"/>
      </w:pPr>
      <w:r>
        <w:t xml:space="preserve">Regardless of whether a record has been approved for destruction or is required as a State archive, a public office or an officer of a public office </w:t>
      </w:r>
      <w:r>
        <w:rPr>
          <w:b/>
          <w:i/>
        </w:rPr>
        <w:t>must not</w:t>
      </w:r>
      <w:r>
        <w:t xml:space="preserve"> permanently transfer possession or ownership of a State record to any person or public office without the explicit approval of State Records NSW.</w:t>
      </w:r>
    </w:p>
    <w:p>
      <w:pPr>
        <w:widowControl w:val="0"/>
        <w:spacing w:before="0" w:line="276" w:lineRule="auto"/>
      </w:pPr>
    </w:p>
    <w:bookmarkEnd w:id="7"/>
    <w:p>
      <w:pPr>
        <w:keepLines/>
        <w:widowControl w:val="0"/>
        <w:spacing w:before="0" w:after="80" w:line="276" w:lineRule="auto"/>
        <w:outlineLvl w:val="1"/>
        <w:rPr>
          <w:color w:val="001C4A"/>
          <w:sz w:val="32"/>
          <w:szCs w:val="32"/>
        </w:rPr>
      </w:pPr>
      <w:r>
        <w:rPr>
          <w:color w:val="001C4A"/>
          <w:sz w:val="32"/>
          <w:szCs w:val="32"/>
        </w:rPr>
        <w:t>Amendment and review of this authority</w:t>
      </w:r>
    </w:p>
    <w:p>
      <w:pPr>
        <w:widowControl w:val="0"/>
        <w:spacing w:before="0" w:line="276" w:lineRule="auto"/>
      </w:pPr>
      <w:bookmarkStart w:id="8" w:name="_Hlk175559774"/>
      <w:r>
        <w:t xml:space="preserve">The State Records NSW Board must approve any amendment to this authority. Public offices that use the authority should advise State Records NSW of any proposed changes or amendments to the authority. </w:t>
      </w:r>
    </w:p>
    <w:p>
      <w:pPr>
        <w:widowControl w:val="0"/>
        <w:spacing w:before="0" w:after="0" w:line="276" w:lineRule="auto"/>
      </w:pPr>
      <w:r>
        <w:t xml:space="preserve">State Records NSW recommends that public offices check retention and disposal authorities </w:t>
      </w:r>
      <w:r>
        <w:rPr>
          <w:bCs/>
        </w:rPr>
        <w:t>more than 10 years old</w:t>
      </w:r>
      <w:r>
        <w:t xml:space="preserve"> to ensure that they are an appropriate mechanism for disposal of records.</w:t>
      </w:r>
    </w:p>
    <w:p>
      <w:pPr>
        <w:widowControl w:val="0"/>
        <w:spacing w:before="0" w:after="0" w:line="276" w:lineRule="auto"/>
      </w:pPr>
    </w:p>
    <w:p>
      <w:pPr>
        <w:widowControl w:val="0"/>
        <w:spacing w:before="0" w:after="0" w:line="276" w:lineRule="auto"/>
      </w:pPr>
      <w:r>
        <w:t>Retention requirements may change over time. This can occur when:</w:t>
      </w:r>
    </w:p>
    <w:p>
      <w:pPr>
        <w:widowControl w:val="0"/>
        <w:numPr>
          <w:ilvl w:val="0"/>
          <w:numId w:val="6"/>
        </w:numPr>
        <w:spacing w:before="0" w:after="0" w:line="276" w:lineRule="auto"/>
        <w:contextualSpacing/>
      </w:pPr>
      <w:r>
        <w:t>business needs or practices change</w:t>
      </w:r>
    </w:p>
    <w:p>
      <w:pPr>
        <w:widowControl w:val="0"/>
        <w:numPr>
          <w:ilvl w:val="0"/>
          <w:numId w:val="6"/>
        </w:numPr>
        <w:spacing w:before="0" w:after="0" w:line="276" w:lineRule="auto"/>
        <w:contextualSpacing/>
      </w:pPr>
      <w:r>
        <w:t>new Government functions are introduced</w:t>
      </w:r>
    </w:p>
    <w:p>
      <w:pPr>
        <w:widowControl w:val="0"/>
        <w:numPr>
          <w:ilvl w:val="0"/>
          <w:numId w:val="6"/>
        </w:numPr>
        <w:spacing w:before="0" w:after="0" w:line="276" w:lineRule="auto"/>
        <w:contextualSpacing/>
      </w:pPr>
      <w:r>
        <w:t xml:space="preserve">new laws, regulations or standards are introduced</w:t>
      </w:r>
    </w:p>
    <w:p>
      <w:pPr>
        <w:widowControl w:val="0"/>
        <w:numPr>
          <w:ilvl w:val="0"/>
          <w:numId w:val="6"/>
        </w:numPr>
        <w:spacing w:before="0" w:after="0" w:line="276" w:lineRule="auto"/>
      </w:pPr>
      <w:r>
        <w:t>new technology is implemented</w:t>
      </w:r>
    </w:p>
    <w:p>
      <w:pPr>
        <w:widowControl w:val="0"/>
        <w:numPr>
          <w:ilvl w:val="0"/>
          <w:numId w:val="6"/>
        </w:numPr>
        <w:spacing w:before="0" w:after="0" w:line="276" w:lineRule="auto"/>
      </w:pPr>
      <w:r>
        <w:t xml:space="preserve">government administration is restructured and functions are moved between entities, or</w:t>
      </w:r>
    </w:p>
    <w:p>
      <w:pPr>
        <w:widowControl w:val="0"/>
        <w:numPr>
          <w:ilvl w:val="0"/>
          <w:numId w:val="6"/>
        </w:numPr>
        <w:spacing w:before="0" w:after="0" w:line="276" w:lineRule="auto"/>
      </w:pPr>
      <w:r>
        <w:t>unforeseen or new community expectations become apparent.</w:t>
      </w:r>
    </w:p>
    <w:p>
      <w:pPr>
        <w:widowControl w:val="0"/>
        <w:spacing w:before="0" w:after="0" w:line="276" w:lineRule="auto"/>
        <w:ind w:left="720"/>
      </w:pPr>
    </w:p>
    <w:p>
      <w:pPr>
        <w:widowControl w:val="0"/>
        <w:spacing w:before="0" w:line="276" w:lineRule="auto"/>
      </w:pPr>
      <w:r>
        <w:t xml:space="preserve">The movement of specified functions between branches or units within the public office does not require the authority to be resubmitted to State Records NSW for approval. However, when functions move from one public office to another, the public office that inherits the new function should contact State Records NSW to discuss use of any existing retention and disposal authority approved for use by a predecessor public office.</w:t>
      </w:r>
      <w:bookmarkEnd w:id="8"/>
    </w:p>
    <w:p>
      <w:pPr>
        <w:widowControl w:val="0"/>
        <w:spacing w:before="0" w:line="276" w:lineRule="auto"/>
        <w:ind w:firstLine="567"/>
        <w:rPr>
          <w:color w:val="001C4A"/>
          <w:sz w:val="28"/>
          <w:szCs w:val="28"/>
        </w:rPr>
      </w:pPr>
    </w:p>
    <w:p>
      <w:pPr>
        <w:widowControl w:val="0"/>
        <w:spacing w:before="0" w:line="276" w:lineRule="auto"/>
        <w:rPr>
          <w:color w:val="001C4A"/>
          <w:sz w:val="32"/>
          <w:szCs w:val="32"/>
        </w:rPr>
      </w:pPr>
      <w:r>
        <w:rPr>
          <w:color w:val="001C4A"/>
          <w:sz w:val="32"/>
          <w:szCs w:val="32"/>
        </w:rPr>
        <w:t>Glossary</w:t>
      </w:r>
    </w:p>
    <w:tbl>
      <w:tblPr>
        <w:tblW w:w="5000" w:type="pct"/>
        <w:tblInd w:w="-56" w:type="dxa"/>
        <w:tblBorders>
          <w:right w:val="single" w:sz="4" w:space="0" w:color="auto"/>
          <w:insideH w:val="single" w:sz="4" w:space="0" w:color="auto"/>
        </w:tblBorders>
        <w:tblCellMar>
          <w:top w:w="57" w:type="dxa"/>
          <w:left w:w="57" w:type="dxa"/>
          <w:right w:w="56" w:type="dxa"/>
        </w:tblCellMar>
        <w:tblLook w:val="0000" w:firstRow="0" w:lastRow="0" w:firstColumn="0" w:lastColumn="0" w:noHBand="0" w:noVBand="0"/>
      </w:tblPr>
      <w:tblGrid>
        <w:gridCol w:w="56"/>
        <w:gridCol w:w="1702"/>
        <w:gridCol w:w="7313"/>
      </w:tblGrid>
      <w:tr>
        <w:tc>
          <w:tcPr>
            <w:tcW w:w="968" w:type="pct"/>
            <w:gridSpan w:val="2"/>
            <w:shd w:val="clear" w:color="auto" w:fill="FFFFFF"/>
            <w:vAlign w:val="center"/>
          </w:tcPr>
          <w:p>
            <w:pPr>
              <w:widowControl w:val="0"/>
              <w:spacing w:before="0" w:line="276" w:lineRule="auto"/>
              <w:rPr>
                <w:b/>
                <w:bCs/>
                <w:szCs w:val="16"/>
              </w:rPr>
            </w:pPr>
            <w:bookmarkStart w:id="9" w:name="_Hlk175559817"/>
            <w:r>
              <w:rPr>
                <w:b/>
                <w:bCs/>
                <w:szCs w:val="16"/>
              </w:rPr>
              <w:t>Activities / Functions</w:t>
            </w:r>
          </w:p>
        </w:tc>
        <w:tc>
          <w:tcPr>
            <w:tcW w:w="4032" w:type="pct"/>
            <w:tcBorders>
              <w:right w:val="nil"/>
            </w:tcBorders>
            <w:vAlign w:val="center"/>
          </w:tcPr>
          <w:p>
            <w:pPr>
              <w:widowControl w:val="0"/>
              <w:spacing w:before="0" w:line="276" w:lineRule="auto"/>
              <w:rPr>
                <w:szCs w:val="16"/>
              </w:rPr>
            </w:pPr>
            <w:r>
              <w:rPr>
                <w:szCs w:val="16"/>
              </w:rPr>
              <w:t xml:space="preserve">The authority identifies core business functions and/or activities. Each will have a definition to clarify the records that may be covered. </w:t>
            </w:r>
          </w:p>
        </w:tc>
      </w:tr>
      <w:tr>
        <w:tc>
          <w:tcPr>
            <w:tcW w:w="968" w:type="pct"/>
            <w:gridSpan w:val="2"/>
            <w:shd w:val="clear" w:color="auto" w:fill="FFFFFF"/>
            <w:vAlign w:val="center"/>
          </w:tcPr>
          <w:p>
            <w:pPr>
              <w:widowControl w:val="0"/>
              <w:spacing w:before="0" w:line="276" w:lineRule="auto"/>
              <w:rPr>
                <w:b/>
                <w:bCs/>
                <w:szCs w:val="16"/>
              </w:rPr>
            </w:pPr>
            <w:r>
              <w:rPr>
                <w:b/>
                <w:bCs/>
                <w:szCs w:val="16"/>
              </w:rPr>
              <w:t>Destruction</w:t>
            </w:r>
          </w:p>
        </w:tc>
        <w:tc>
          <w:tcPr>
            <w:tcW w:w="4032" w:type="pct"/>
            <w:tcBorders>
              <w:right w:val="nil"/>
            </w:tcBorders>
            <w:vAlign w:val="center"/>
          </w:tcPr>
          <w:p>
            <w:pPr>
              <w:widowControl w:val="0"/>
              <w:spacing w:before="0" w:line="276" w:lineRule="auto"/>
              <w:rPr>
                <w:szCs w:val="16"/>
              </w:rPr>
            </w:pPr>
            <w:r>
              <w:rPr>
                <w:szCs w:val="16"/>
              </w:rPr>
              <w:t xml:space="preserve">Process of eliminating or deleting a record, beyond any possible reconstruction. The process includes destroying all copies of the record. Destruction of State records must be documented.</w:t>
            </w:r>
          </w:p>
        </w:tc>
      </w:tr>
      <w:tr>
        <w:tc>
          <w:tcPr>
            <w:tcW w:w="968" w:type="pct"/>
            <w:gridSpan w:val="2"/>
            <w:shd w:val="clear" w:color="auto" w:fill="FFFFFF"/>
            <w:vAlign w:val="center"/>
          </w:tcPr>
          <w:p>
            <w:pPr>
              <w:widowControl w:val="0"/>
              <w:spacing w:before="0" w:line="276" w:lineRule="auto"/>
              <w:rPr>
                <w:b/>
                <w:bCs/>
                <w:szCs w:val="16"/>
              </w:rPr>
            </w:pPr>
            <w:r>
              <w:rPr>
                <w:b/>
                <w:bCs/>
                <w:szCs w:val="16"/>
              </w:rPr>
              <w:t>Disposal action</w:t>
            </w:r>
          </w:p>
        </w:tc>
        <w:tc>
          <w:tcPr>
            <w:tcW w:w="4032" w:type="pct"/>
            <w:tcBorders>
              <w:right w:val="nil"/>
            </w:tcBorders>
            <w:vAlign w:val="center"/>
          </w:tcPr>
          <w:p>
            <w:pPr>
              <w:widowControl w:val="0"/>
              <w:spacing w:before="0" w:line="276" w:lineRule="auto"/>
              <w:rPr>
                <w:szCs w:val="16"/>
              </w:rPr>
            </w:pPr>
            <w:r>
              <w:rPr>
                <w:szCs w:val="16"/>
              </w:rPr>
              <w:t xml:space="preserve">The authority identifies how long a record needs to be retained and what should happen to it after this period of time, whether it be destroyed or transferred as a State archive. Disposal can also include transfer of records to another jurisdiction or the private successor of a public office.</w:t>
            </w:r>
          </w:p>
        </w:tc>
      </w:tr>
      <w:tr>
        <w:tc>
          <w:tcPr>
            <w:tcW w:w="968" w:type="pct"/>
            <w:gridSpan w:val="2"/>
            <w:shd w:val="clear" w:color="auto" w:fill="FFFFFF"/>
            <w:vAlign w:val="center"/>
          </w:tcPr>
          <w:p>
            <w:pPr>
              <w:widowControl w:val="0"/>
              <w:spacing w:before="0" w:line="276" w:lineRule="auto"/>
              <w:rPr>
                <w:b/>
                <w:bCs/>
                <w:szCs w:val="16"/>
              </w:rPr>
            </w:pPr>
            <w:r>
              <w:rPr>
                <w:b/>
                <w:bCs/>
                <w:szCs w:val="16"/>
              </w:rPr>
              <w:t>Disposal class</w:t>
            </w:r>
          </w:p>
        </w:tc>
        <w:tc>
          <w:tcPr>
            <w:tcW w:w="4032" w:type="pct"/>
            <w:tcBorders>
              <w:right w:val="nil"/>
            </w:tcBorders>
            <w:vAlign w:val="center"/>
          </w:tcPr>
          <w:p>
            <w:pPr>
              <w:widowControl w:val="0"/>
              <w:spacing w:before="0" w:line="276" w:lineRule="auto"/>
              <w:rPr>
                <w:szCs w:val="16"/>
              </w:rPr>
            </w:pPr>
            <w:r>
              <w:rPr>
                <w:szCs w:val="16"/>
              </w:rPr>
              <w:t xml:space="preserve">Provides a description of a type of record and given a unique entry number for reference. For each disposal class there is an approved disposal action. </w:t>
            </w:r>
          </w:p>
        </w:tc>
      </w:tr>
      <w:tr>
        <w:trPr>
          <w:gridBefore w:val="1"/>
          <w:wBefore w:w="31" w:type="pct"/>
        </w:trPr>
        <w:tc>
          <w:tcPr>
            <w:tcW w:w="938" w:type="pct"/>
            <w:shd w:val="clear" w:color="auto" w:fill="FFFFFF"/>
            <w:vAlign w:val="center"/>
          </w:tcPr>
          <w:p>
            <w:pPr>
              <w:widowControl w:val="0"/>
              <w:spacing w:before="0" w:line="276" w:lineRule="auto"/>
              <w:rPr>
                <w:b/>
                <w:bCs/>
                <w:szCs w:val="16"/>
              </w:rPr>
            </w:pPr>
            <w:r>
              <w:rPr>
                <w:b/>
                <w:bCs/>
                <w:szCs w:val="16"/>
              </w:rPr>
              <w:t>Normal Administrative Practice (NAP)</w:t>
            </w:r>
          </w:p>
        </w:tc>
        <w:tc>
          <w:tcPr>
            <w:tcW w:w="4032" w:type="pct"/>
            <w:tcBorders>
              <w:right w:val="nil"/>
            </w:tcBorders>
            <w:vAlign w:val="center"/>
          </w:tcPr>
          <w:p>
            <w:pPr>
              <w:widowControl w:val="0"/>
              <w:spacing w:before="0" w:line="276" w:lineRule="auto"/>
            </w:pPr>
            <w:r>
              <w:t xml:space="preserve">The disposal of ephemeral or facilitative records under the </w:t>
            </w:r>
            <w:r>
              <w:rPr>
                <w:i/>
                <w:iCs/>
              </w:rPr>
              <w:t>State Records Regulation</w:t>
            </w:r>
            <w:r>
              <w:t>.</w:t>
            </w:r>
          </w:p>
        </w:tc>
      </w:tr>
      <w:tr>
        <w:tc>
          <w:tcPr>
            <w:tcW w:w="968" w:type="pct"/>
            <w:gridSpan w:val="2"/>
            <w:shd w:val="clear" w:color="auto" w:fill="FFFFFF"/>
            <w:vAlign w:val="center"/>
          </w:tcPr>
          <w:p>
            <w:pPr>
              <w:widowControl w:val="0"/>
              <w:spacing w:before="0" w:line="276" w:lineRule="auto"/>
              <w:rPr>
                <w:b/>
                <w:bCs/>
                <w:szCs w:val="16"/>
              </w:rPr>
            </w:pPr>
            <w:r>
              <w:rPr>
                <w:b/>
                <w:bCs/>
                <w:szCs w:val="16"/>
              </w:rPr>
              <w:t>Public office</w:t>
            </w:r>
          </w:p>
        </w:tc>
        <w:tc>
          <w:tcPr>
            <w:tcW w:w="4032" w:type="pct"/>
            <w:tcBorders>
              <w:right w:val="nil"/>
            </w:tcBorders>
            <w:vAlign w:val="center"/>
          </w:tcPr>
          <w:p>
            <w:pPr>
              <w:widowControl w:val="0"/>
              <w:spacing w:before="0" w:line="276" w:lineRule="auto"/>
              <w:rPr>
                <w:szCs w:val="16"/>
              </w:rPr>
            </w:pPr>
            <w:r>
              <w:rPr>
                <w:szCs w:val="16"/>
              </w:rPr>
              <w:t xml:space="preserve">A public office is a department, office, commission, board, corporation, agency, service or instrumentality exercising a function of a branch of the Government of the State, a body, whether incorporated or not, established for a public purpose, a council, the Cabinet and the Executive Council, the office and official establishment of the Governor, a House of Parliament, a court or tribunal, a State collecting institution, a Royal Commission or Commission of Inquiry, a State owned corporation, the holder of an office under the Crown, a political office holder, a body, office or institution that exercises a public function and is declared to be a public office. </w:t>
            </w:r>
          </w:p>
          <w:p>
            <w:pPr>
              <w:widowControl w:val="0"/>
              <w:spacing w:before="0" w:line="276" w:lineRule="auto"/>
              <w:rPr>
                <w:szCs w:val="16"/>
              </w:rPr>
            </w:pPr>
            <w:r>
              <w:rPr>
                <w:szCs w:val="16"/>
              </w:rPr>
              <w:t xml:space="preserve">See the </w:t>
            </w:r>
            <w:r>
              <w:rPr>
                <w:i/>
                <w:iCs/>
                <w:szCs w:val="16"/>
              </w:rPr>
              <w:t>State Records Act 1998</w:t>
            </w:r>
            <w:r>
              <w:rPr>
                <w:szCs w:val="16"/>
              </w:rPr>
              <w:t xml:space="preserve"> for the complete definition and the </w:t>
            </w:r>
            <w:r>
              <w:rPr>
                <w:i/>
                <w:iCs/>
                <w:szCs w:val="16"/>
              </w:rPr>
              <w:t>State Records NSW website</w:t>
            </w:r>
            <w:r>
              <w:rPr>
                <w:szCs w:val="16"/>
              </w:rPr>
              <w:t xml:space="preserve"> for a listing of identified public offices.</w:t>
            </w:r>
          </w:p>
          <w:p>
            <w:pPr>
              <w:widowControl w:val="0"/>
              <w:spacing w:before="0" w:line="276" w:lineRule="auto"/>
              <w:rPr>
                <w:szCs w:val="16"/>
              </w:rPr>
            </w:pPr>
            <w:r>
              <w:rPr>
                <w:szCs w:val="16"/>
              </w:rPr>
              <w:t xml:space="preserve">A public office does not include a private organisation unless it is a successor of a public office and is holding State records.</w:t>
            </w:r>
          </w:p>
        </w:tc>
      </w:tr>
      <w:tr>
        <w:trPr>
          <w:gridBefore w:val="1"/>
          <w:wBefore w:w="31" w:type="pct"/>
          <w:trHeight w:val="2440"/>
        </w:trPr>
        <w:tc>
          <w:tcPr>
            <w:tcW w:w="938" w:type="pct"/>
            <w:shd w:val="clear" w:color="auto" w:fill="FFFFFF"/>
            <w:vAlign w:val="center"/>
          </w:tcPr>
          <w:p>
            <w:pPr>
              <w:widowControl w:val="0"/>
              <w:spacing w:before="0" w:line="276" w:lineRule="auto"/>
              <w:rPr>
                <w:b/>
                <w:bCs/>
                <w:szCs w:val="16"/>
              </w:rPr>
            </w:pPr>
            <w:r>
              <w:rPr>
                <w:b/>
                <w:bCs/>
                <w:szCs w:val="16"/>
              </w:rPr>
              <w:t>Retention and Disposal Authority</w:t>
            </w:r>
          </w:p>
        </w:tc>
        <w:tc>
          <w:tcPr>
            <w:tcW w:w="4032" w:type="pct"/>
            <w:tcBorders>
              <w:right w:val="nil"/>
            </w:tcBorders>
            <w:vAlign w:val="center"/>
          </w:tcPr>
          <w:p>
            <w:pPr>
              <w:widowControl w:val="0"/>
              <w:spacing w:before="0" w:after="0" w:line="276" w:lineRule="auto"/>
              <w:rPr>
                <w:szCs w:val="16"/>
              </w:rPr>
            </w:pPr>
            <w:r>
              <w:rPr>
                <w:szCs w:val="16"/>
              </w:rPr>
              <w:t xml:space="preserve">Documents authorised by the Board of the State Records Authority NSW that set out appropriate retention periods for classes of records. There are two main types:</w:t>
            </w:r>
          </w:p>
          <w:p>
            <w:pPr>
              <w:widowControl w:val="0"/>
              <w:numPr>
                <w:ilvl w:val="0"/>
                <w:numId w:val="5"/>
              </w:numPr>
              <w:spacing w:before="0" w:line="276" w:lineRule="auto"/>
              <w:contextualSpacing/>
              <w:rPr>
                <w:szCs w:val="16"/>
              </w:rPr>
            </w:pPr>
            <w:r>
              <w:rPr>
                <w:szCs w:val="16"/>
              </w:rPr>
              <w:t xml:space="preserve">Functional retention and disposal authorities are unique to a specific business role, function, or legislated responsibility.</w:t>
            </w:r>
          </w:p>
          <w:p>
            <w:pPr>
              <w:widowControl w:val="0"/>
              <w:numPr>
                <w:ilvl w:val="0"/>
                <w:numId w:val="5"/>
              </w:numPr>
              <w:spacing w:before="0" w:line="276" w:lineRule="auto"/>
              <w:contextualSpacing/>
              <w:rPr>
                <w:szCs w:val="16"/>
              </w:rPr>
            </w:pPr>
            <w:r>
              <w:rPr>
                <w:szCs w:val="16"/>
              </w:rPr>
              <w:t xml:space="preserve">General retention and disposal authorities are used by all  public offices and cover common administrative records, records that have been copied, source records from a migration project and the transfer of records outside of the state.</w:t>
            </w:r>
          </w:p>
        </w:tc>
      </w:tr>
      <w:bookmarkEnd w:id="9"/>
      <w:tr>
        <w:tc>
          <w:tcPr>
            <w:tcW w:w="968" w:type="pct"/>
            <w:gridSpan w:val="2"/>
            <w:shd w:val="clear" w:color="auto" w:fill="FFFFFF"/>
            <w:vAlign w:val="center"/>
          </w:tcPr>
          <w:p>
            <w:pPr>
              <w:widowControl w:val="0"/>
              <w:spacing w:before="0" w:line="276" w:lineRule="auto"/>
              <w:rPr>
                <w:b/>
                <w:bCs/>
                <w:szCs w:val="16"/>
              </w:rPr>
            </w:pPr>
            <w:r>
              <w:rPr>
                <w:b/>
                <w:bCs/>
                <w:szCs w:val="16"/>
              </w:rPr>
              <w:t>Retention period</w:t>
            </w:r>
          </w:p>
        </w:tc>
        <w:tc>
          <w:tcPr>
            <w:tcW w:w="4032" w:type="pct"/>
            <w:tcBorders>
              <w:right w:val="nil"/>
            </w:tcBorders>
            <w:vAlign w:val="center"/>
          </w:tcPr>
          <w:p>
            <w:pPr>
              <w:widowControl w:val="0"/>
              <w:spacing w:before="0" w:line="276" w:lineRule="auto"/>
              <w:rPr>
                <w:i/>
                <w:iCs/>
                <w:szCs w:val="16"/>
              </w:rPr>
            </w:pPr>
            <w:r>
              <w:rPr>
                <w:szCs w:val="16"/>
              </w:rPr>
              <w:t xml:space="preserve">The minimum amount of time for which records should be kept to meet regulatory, business and community requirements before they can be destroyed.</w:t>
            </w:r>
            <w:r>
              <w:rPr>
                <w:i/>
                <w:iCs/>
                <w:szCs w:val="16"/>
              </w:rPr>
              <w:t xml:space="preserve"> ie. Retain minimum 1 year after action completed, then destroy</w:t>
            </w:r>
          </w:p>
        </w:tc>
      </w:tr>
      <w:tr>
        <w:tc>
          <w:tcPr>
            <w:tcW w:w="968" w:type="pct"/>
            <w:gridSpan w:val="2"/>
            <w:shd w:val="clear" w:color="auto" w:fill="FFFFFF"/>
            <w:vAlign w:val="center"/>
          </w:tcPr>
          <w:p>
            <w:pPr>
              <w:widowControl w:val="0"/>
              <w:spacing w:before="0" w:line="276" w:lineRule="auto"/>
              <w:rPr>
                <w:b/>
                <w:bCs/>
                <w:szCs w:val="16"/>
              </w:rPr>
            </w:pPr>
            <w:r>
              <w:rPr>
                <w:b/>
                <w:bCs/>
                <w:szCs w:val="16"/>
              </w:rPr>
              <w:t>State archive</w:t>
            </w:r>
          </w:p>
        </w:tc>
        <w:tc>
          <w:tcPr>
            <w:tcW w:w="4032" w:type="pct"/>
            <w:tcBorders>
              <w:right w:val="nil"/>
            </w:tcBorders>
            <w:vAlign w:val="center"/>
          </w:tcPr>
          <w:p>
            <w:pPr>
              <w:widowControl w:val="0"/>
              <w:spacing w:before="0" w:line="276" w:lineRule="auto"/>
              <w:rPr>
                <w:szCs w:val="16"/>
              </w:rPr>
            </w:pPr>
            <w:bookmarkStart w:id="10" w:name="_Hlk174021746"/>
            <w:r>
              <w:rPr>
                <w:szCs w:val="16"/>
              </w:rPr>
              <w:t xml:space="preserve">A State record that has been identified to be kept in perpetuity and may not be disposed of. Once a State archive is no longer being used for business purposes, it should be transferred to Museums of History NSW.</w:t>
            </w:r>
            <w:bookmarkEnd w:id="10"/>
          </w:p>
        </w:tc>
      </w:tr>
      <w:tr>
        <w:tc>
          <w:tcPr>
            <w:tcW w:w="968" w:type="pct"/>
            <w:gridSpan w:val="2"/>
            <w:shd w:val="clear" w:color="auto" w:fill="FFFFFF"/>
            <w:vAlign w:val="center"/>
          </w:tcPr>
          <w:p>
            <w:pPr>
              <w:widowControl w:val="0"/>
              <w:spacing w:before="0" w:line="276" w:lineRule="auto"/>
              <w:rPr>
                <w:b/>
                <w:bCs/>
                <w:szCs w:val="16"/>
              </w:rPr>
            </w:pPr>
            <w:r>
              <w:rPr>
                <w:b/>
                <w:bCs/>
                <w:szCs w:val="16"/>
              </w:rPr>
              <w:t>State record</w:t>
            </w:r>
          </w:p>
        </w:tc>
        <w:tc>
          <w:tcPr>
            <w:tcW w:w="4032" w:type="pct"/>
            <w:tcBorders>
              <w:right w:val="nil"/>
            </w:tcBorders>
            <w:vAlign w:val="center"/>
          </w:tcPr>
          <w:p>
            <w:pPr>
              <w:widowControl w:val="0"/>
              <w:spacing w:before="0" w:line="276" w:lineRule="auto"/>
              <w:rPr>
                <w:szCs w:val="16"/>
              </w:rPr>
            </w:pPr>
            <w:r>
              <w:rPr>
                <w:szCs w:val="16"/>
              </w:rPr>
              <w:t xml:space="preserve">State record means a record made or received by a person in the course of exercising official functions in a public office, or for a purpose of a public office, or for the use of a public office. See</w:t>
            </w:r>
            <w:r>
              <w:rPr>
                <w:i/>
                <w:iCs/>
                <w:szCs w:val="16"/>
              </w:rPr>
              <w:t xml:space="preserve"> State Records Act 1998 s.3.</w:t>
            </w:r>
          </w:p>
        </w:tc>
      </w:tr>
    </w:tbl>
    <w:p/>
    <w:p>
      <w:pPr>
        <w:sectPr>
          <w:footerReference w:type="default" r:id="rId14"/>
          <w:footerReference w:type="first" r:id="rId15"/>
          <w:pgSz w:w="11907" w:h="16840" w:code="9"/>
          <w:pgMar w:top="1418" w:right="1418" w:bottom="1418" w:left="1418" w:header="567" w:footer="567" w:gutter="0"/>
          <w:paperSrc w:first="7" w:other="7"/>
          <w:pgNumType w:start="1"/>
          <w:cols w:space="720"/>
          <w:titlePg/>
        </w:sectPr>
      </w:pPr>
    </w:p>
    <w:tbl>
      <w:tblPr>
        <w:tblStyle w:val="TableGrid"/>
        <w:tblW w:w="5000" w:type="pct"/>
        <w:tblLook w:val="01E0" w:firstRow="1" w:lastRow="1" w:firstColumn="1" w:lastColumn="1" w:noHBand="0" w:noVBand="0"/>
      </w:tblPr>
      <w:tblGrid>
        <w:gridCol w:w="3591"/>
        <w:gridCol w:w="3410"/>
        <w:gridCol w:w="1187"/>
        <w:gridCol w:w="873"/>
      </w:tblGrid>
      <w:tr>
        <w:trPr>
          <w:tblHeader/>
        </w:trPr>
        <w:tc>
          <w:tcPr>
            <w:tcW w:w="2000" w:type="pct"/>
          </w:tcPr>
          <w:p>
            <w:pPr>
              <w:rPr>
                <w:b/>
              </w:rPr>
            </w:pPr>
            <w:r>
              <w:rPr>
                <w:b/>
              </w:rPr>
              <w:t>Function</w:t>
            </w:r>
          </w:p>
        </w:tc>
        <w:tc>
          <w:tcPr>
            <w:tcW w:w="1900" w:type="pct"/>
          </w:tcPr>
          <w:p>
            <w:pPr>
              <w:rPr>
                <w:b/>
              </w:rPr>
            </w:pPr>
            <w:r>
              <w:rPr>
                <w:b/>
              </w:rPr>
              <w:t>Activity</w:t>
            </w:r>
          </w:p>
        </w:tc>
        <w:tc>
          <w:tcPr>
            <w:tcW w:w="600" w:type="pct"/>
          </w:tcPr>
          <w:p>
            <w:pPr>
              <w:rPr>
                <w:b/>
              </w:rPr>
            </w:pPr>
            <w:r>
              <w:rPr>
                <w:b/>
              </w:rPr>
              <w:t>Reference</w:t>
            </w:r>
          </w:p>
        </w:tc>
        <w:tc>
          <w:tcPr>
            <w:tcW w:w="500" w:type="pct"/>
          </w:tcPr>
          <w:p>
            <w:pPr>
              <w:rPr>
                <w:b/>
              </w:rPr>
            </w:pPr>
            <w:r>
              <w:rPr>
                <w:b/>
              </w:rPr>
              <w:t>Page</w:t>
            </w:r>
          </w:p>
        </w:tc>
      </w:tr>
      <w:tr>
        <w:tc>
          <w:tcPr>
            <w:tcW w:w="2000" w:type="pct"/>
          </w:tcPr>
          <w:p>
            <w:pPr>
              <w:rPr/>
            </w:pPr>
            <w:hyperlink w:anchor="id1" w:tooltip="ABORIGINAL TRUST FUND REPAYMENT SCHEME (AFTRS)" w:history="1">
              <w:r>
                <w:t>ABORIGINAL TRUST FUND REPAYMENT SCHEME (AFTRS)</w:t>
              </w:r>
            </w:hyperlink>
          </w:p>
        </w:tc>
        <w:tc>
          <w:tcPr>
            <w:tcW w:w="1900" w:type="pct"/>
          </w:tcPr>
          <w:p/>
        </w:tc>
        <w:tc>
          <w:tcPr>
            <w:tcW w:w="600" w:type="pct"/>
          </w:tcPr>
          <w:p>
            <w:r>
              <w:t>1.0.0</w:t>
            </w:r>
          </w:p>
        </w:tc>
        <w:tc>
          <w:tcPr>
            <w:tcW w:w="500" w:type="pct"/>
          </w:tcPr>
          <w:p>
            <w:pPr>
              <w:rPr/>
            </w:pPr>
            <w:r>
              <w:rPr/>
              <w:fldChar w:fldCharType="begin"/>
            </w:r>
            <w:r>
              <w:rPr/>
              <w:instrText> PAGEREF  id1 \* MERGEFORMAT </w:instrText>
            </w:r>
            <w:r>
              <w:rPr/>
              <w:fldChar w:fldCharType="separate"/>
            </w:r>
            <w:r>
              <w:rPr>
                <w:noProof/>
              </w:rPr>
              <w:t>ctr-a, F9</w:t>
            </w:r>
            <w:r>
              <w:rPr>
                <w:noProof/>
              </w:rPr>
              <w:fldChar w:fldCharType="end"/>
            </w:r>
          </w:p>
        </w:tc>
      </w:tr>
      <w:tr>
        <w:tc>
          <w:tcPr>
            <w:tcW w:w="2000" w:type="pct"/>
          </w:tcPr>
          <w:p>
            <w:pPr>
              <w:rPr/>
            </w:pPr>
            <w:hyperlink w:anchor="id2" w:tooltip="Claims" w:history="1">
              <w:r>
                <w:t>Claims</w:t>
              </w:r>
            </w:hyperlink>
          </w:p>
        </w:tc>
        <w:tc>
          <w:tcPr>
            <w:tcW w:w="1900" w:type="pct"/>
          </w:tcPr>
          <w:p/>
        </w:tc>
        <w:tc>
          <w:tcPr>
            <w:tcW w:w="600" w:type="pct"/>
          </w:tcPr>
          <w:p>
            <w:r>
              <w:t>1.1.0</w:t>
            </w:r>
          </w:p>
        </w:tc>
        <w:tc>
          <w:tcPr>
            <w:tcW w:w="500" w:type="pct"/>
          </w:tcPr>
          <w:p>
            <w:pPr>
              <w:rPr/>
            </w:pPr>
            <w:r>
              <w:rPr/>
              <w:fldChar w:fldCharType="begin"/>
            </w:r>
            <w:r>
              <w:rPr/>
              <w:instrText> PAGEREF  id2 \* MERGEFORMAT </w:instrText>
            </w:r>
            <w:r>
              <w:rPr/>
              <w:fldChar w:fldCharType="separate"/>
            </w:r>
            <w:r>
              <w:rPr>
                <w:noProof/>
              </w:rPr>
              <w:t>ctr-a, F9</w:t>
            </w:r>
            <w:r>
              <w:rPr>
                <w:noProof/>
              </w:rPr>
              <w:fldChar w:fldCharType="end"/>
            </w:r>
          </w:p>
        </w:tc>
      </w:tr>
      <w:tr>
        <w:tc>
          <w:tcPr>
            <w:tcW w:w="2000" w:type="pct"/>
          </w:tcPr>
          <w:p>
            <w:pPr>
              <w:rPr/>
            </w:pPr>
            <w:hyperlink w:anchor="id3" w:tooltip="CABINET SERVICES" w:history="1">
              <w:r>
                <w:t>CABINET SERVICES</w:t>
              </w:r>
            </w:hyperlink>
          </w:p>
        </w:tc>
        <w:tc>
          <w:tcPr>
            <w:tcW w:w="1900" w:type="pct"/>
          </w:tcPr>
          <w:p/>
        </w:tc>
        <w:tc>
          <w:tcPr>
            <w:tcW w:w="600" w:type="pct"/>
          </w:tcPr>
          <w:p>
            <w:r>
              <w:t>2.0.0</w:t>
            </w:r>
          </w:p>
        </w:tc>
        <w:tc>
          <w:tcPr>
            <w:tcW w:w="500" w:type="pct"/>
          </w:tcPr>
          <w:p>
            <w:pPr>
              <w:rPr/>
            </w:pPr>
            <w:r>
              <w:rPr/>
              <w:fldChar w:fldCharType="begin"/>
            </w:r>
            <w:r>
              <w:rPr/>
              <w:instrText> PAGEREF  id3 \* MERGEFORMAT </w:instrText>
            </w:r>
            <w:r>
              <w:rPr/>
              <w:fldChar w:fldCharType="separate"/>
            </w:r>
            <w:r>
              <w:rPr>
                <w:noProof/>
              </w:rPr>
              <w:t>ctr-a, F9</w:t>
            </w:r>
            <w:r>
              <w:rPr>
                <w:noProof/>
              </w:rPr>
              <w:fldChar w:fldCharType="end"/>
            </w:r>
          </w:p>
        </w:tc>
      </w:tr>
      <w:tr>
        <w:tc>
          <w:tcPr>
            <w:tcW w:w="2000" w:type="pct"/>
          </w:tcPr>
          <w:p>
            <w:pPr>
              <w:rPr/>
            </w:pPr>
            <w:hyperlink w:anchor="id4" w:tooltip="COMMUNITY SUPPORT" w:history="1">
              <w:r>
                <w:t>COMMUNITY SUPPORT</w:t>
              </w:r>
            </w:hyperlink>
          </w:p>
        </w:tc>
        <w:tc>
          <w:tcPr>
            <w:tcW w:w="1900" w:type="pct"/>
          </w:tcPr>
          <w:p/>
        </w:tc>
        <w:tc>
          <w:tcPr>
            <w:tcW w:w="600" w:type="pct"/>
          </w:tcPr>
          <w:p>
            <w:r>
              <w:t>3.0.0</w:t>
            </w:r>
          </w:p>
        </w:tc>
        <w:tc>
          <w:tcPr>
            <w:tcW w:w="500" w:type="pct"/>
          </w:tcPr>
          <w:p>
            <w:pPr>
              <w:rPr/>
            </w:pPr>
            <w:r>
              <w:rPr/>
              <w:fldChar w:fldCharType="begin"/>
            </w:r>
            <w:r>
              <w:rPr/>
              <w:instrText> PAGEREF  id4 \* MERGEFORMAT </w:instrText>
            </w:r>
            <w:r>
              <w:rPr/>
              <w:fldChar w:fldCharType="separate"/>
            </w:r>
            <w:r>
              <w:rPr>
                <w:noProof/>
              </w:rPr>
              <w:t>ctr-a, F9</w:t>
            </w:r>
            <w:r>
              <w:rPr>
                <w:noProof/>
              </w:rPr>
              <w:fldChar w:fldCharType="end"/>
            </w:r>
          </w:p>
        </w:tc>
      </w:tr>
      <w:tr>
        <w:tc>
          <w:tcPr>
            <w:tcW w:w="2000" w:type="pct"/>
          </w:tcPr>
          <w:p>
            <w:pPr>
              <w:rPr/>
            </w:pPr>
            <w:hyperlink w:anchor="id5" w:tooltip="Committees" w:history="1">
              <w:r>
                <w:t>Committees</w:t>
              </w:r>
            </w:hyperlink>
          </w:p>
        </w:tc>
        <w:tc>
          <w:tcPr>
            <w:tcW w:w="1900" w:type="pct"/>
          </w:tcPr>
          <w:p/>
        </w:tc>
        <w:tc>
          <w:tcPr>
            <w:tcW w:w="600" w:type="pct"/>
          </w:tcPr>
          <w:p>
            <w:r>
              <w:t>3.1.0</w:t>
            </w:r>
          </w:p>
        </w:tc>
        <w:tc>
          <w:tcPr>
            <w:tcW w:w="500" w:type="pct"/>
          </w:tcPr>
          <w:p>
            <w:pPr>
              <w:rPr/>
            </w:pPr>
            <w:r>
              <w:rPr/>
              <w:fldChar w:fldCharType="begin"/>
            </w:r>
            <w:r>
              <w:rPr/>
              <w:instrText> PAGEREF  id5 \* MERGEFORMAT </w:instrText>
            </w:r>
            <w:r>
              <w:rPr/>
              <w:fldChar w:fldCharType="separate"/>
            </w:r>
            <w:r>
              <w:rPr>
                <w:noProof/>
              </w:rPr>
              <w:t>ctr-a, F9</w:t>
            </w:r>
            <w:r>
              <w:rPr>
                <w:noProof/>
              </w:rPr>
              <w:fldChar w:fldCharType="end"/>
            </w:r>
          </w:p>
        </w:tc>
      </w:tr>
      <w:tr>
        <w:tc>
          <w:tcPr>
            <w:tcW w:w="2000" w:type="pct"/>
          </w:tcPr>
          <w:p>
            <w:pPr>
              <w:rPr/>
            </w:pPr>
            <w:hyperlink w:anchor="id6" w:tooltip="Community Cabinets" w:history="1">
              <w:r>
                <w:t>Community Cabinets</w:t>
              </w:r>
            </w:hyperlink>
          </w:p>
        </w:tc>
        <w:tc>
          <w:tcPr>
            <w:tcW w:w="1900" w:type="pct"/>
          </w:tcPr>
          <w:p/>
        </w:tc>
        <w:tc>
          <w:tcPr>
            <w:tcW w:w="600" w:type="pct"/>
          </w:tcPr>
          <w:p>
            <w:r>
              <w:t>3.2.0</w:t>
            </w:r>
          </w:p>
        </w:tc>
        <w:tc>
          <w:tcPr>
            <w:tcW w:w="500" w:type="pct"/>
          </w:tcPr>
          <w:p>
            <w:pPr>
              <w:rPr/>
            </w:pPr>
            <w:r>
              <w:rPr/>
              <w:fldChar w:fldCharType="begin"/>
            </w:r>
            <w:r>
              <w:rPr/>
              <w:instrText> PAGEREF  id6 \* MERGEFORMAT </w:instrText>
            </w:r>
            <w:r>
              <w:rPr/>
              <w:fldChar w:fldCharType="separate"/>
            </w:r>
            <w:r>
              <w:rPr>
                <w:noProof/>
              </w:rPr>
              <w:t>ctr-a, F9</w:t>
            </w:r>
            <w:r>
              <w:rPr>
                <w:noProof/>
              </w:rPr>
              <w:fldChar w:fldCharType="end"/>
            </w:r>
          </w:p>
        </w:tc>
      </w:tr>
      <w:tr>
        <w:tc>
          <w:tcPr>
            <w:tcW w:w="2000" w:type="pct"/>
          </w:tcPr>
          <w:p>
            <w:pPr>
              <w:rPr/>
            </w:pPr>
            <w:hyperlink w:anchor="id7" w:tooltip="Grant assistance" w:history="1">
              <w:r>
                <w:t>Grant assistance</w:t>
              </w:r>
            </w:hyperlink>
          </w:p>
        </w:tc>
        <w:tc>
          <w:tcPr>
            <w:tcW w:w="1900" w:type="pct"/>
          </w:tcPr>
          <w:p/>
        </w:tc>
        <w:tc>
          <w:tcPr>
            <w:tcW w:w="600" w:type="pct"/>
          </w:tcPr>
          <w:p>
            <w:r>
              <w:t>3.3.0</w:t>
            </w:r>
          </w:p>
        </w:tc>
        <w:tc>
          <w:tcPr>
            <w:tcW w:w="500" w:type="pct"/>
          </w:tcPr>
          <w:p>
            <w:pPr>
              <w:rPr/>
            </w:pPr>
            <w:r>
              <w:rPr/>
              <w:fldChar w:fldCharType="begin"/>
            </w:r>
            <w:r>
              <w:rPr/>
              <w:instrText> PAGEREF  id7 \* MERGEFORMAT </w:instrText>
            </w:r>
            <w:r>
              <w:rPr/>
              <w:fldChar w:fldCharType="separate"/>
            </w:r>
            <w:r>
              <w:rPr>
                <w:noProof/>
              </w:rPr>
              <w:t>ctr-a, F9</w:t>
            </w:r>
            <w:r>
              <w:rPr>
                <w:noProof/>
              </w:rPr>
              <w:fldChar w:fldCharType="end"/>
            </w:r>
          </w:p>
        </w:tc>
      </w:tr>
      <w:tr>
        <w:tc>
          <w:tcPr>
            <w:tcW w:w="2000" w:type="pct"/>
          </w:tcPr>
          <w:p>
            <w:pPr>
              <w:rPr/>
            </w:pPr>
            <w:hyperlink w:anchor="id8" w:tooltip="Policy" w:history="1">
              <w:r>
                <w:t>Policy</w:t>
              </w:r>
            </w:hyperlink>
          </w:p>
        </w:tc>
        <w:tc>
          <w:tcPr>
            <w:tcW w:w="1900" w:type="pct"/>
          </w:tcPr>
          <w:p/>
        </w:tc>
        <w:tc>
          <w:tcPr>
            <w:tcW w:w="600" w:type="pct"/>
          </w:tcPr>
          <w:p>
            <w:r>
              <w:t>3.4.0</w:t>
            </w:r>
          </w:p>
        </w:tc>
        <w:tc>
          <w:tcPr>
            <w:tcW w:w="500" w:type="pct"/>
          </w:tcPr>
          <w:p>
            <w:pPr>
              <w:rPr/>
            </w:pPr>
            <w:r>
              <w:rPr/>
              <w:fldChar w:fldCharType="begin"/>
            </w:r>
            <w:r>
              <w:rPr/>
              <w:instrText> PAGEREF  id8 \* MERGEFORMAT </w:instrText>
            </w:r>
            <w:r>
              <w:rPr/>
              <w:fldChar w:fldCharType="separate"/>
            </w:r>
            <w:r>
              <w:rPr>
                <w:noProof/>
              </w:rPr>
              <w:t>ctr-a, F9</w:t>
            </w:r>
            <w:r>
              <w:rPr>
                <w:noProof/>
              </w:rPr>
              <w:fldChar w:fldCharType="end"/>
            </w:r>
          </w:p>
        </w:tc>
      </w:tr>
      <w:tr>
        <w:tc>
          <w:tcPr>
            <w:tcW w:w="2000" w:type="pct"/>
          </w:tcPr>
          <w:p>
            <w:pPr>
              <w:rPr/>
            </w:pPr>
            <w:hyperlink w:anchor="id9" w:tooltip="Programs" w:history="1">
              <w:r>
                <w:t>Programs</w:t>
              </w:r>
            </w:hyperlink>
          </w:p>
        </w:tc>
        <w:tc>
          <w:tcPr>
            <w:tcW w:w="1900" w:type="pct"/>
          </w:tcPr>
          <w:p/>
        </w:tc>
        <w:tc>
          <w:tcPr>
            <w:tcW w:w="600" w:type="pct"/>
          </w:tcPr>
          <w:p>
            <w:r>
              <w:t>3.5.0</w:t>
            </w:r>
          </w:p>
        </w:tc>
        <w:tc>
          <w:tcPr>
            <w:tcW w:w="500" w:type="pct"/>
          </w:tcPr>
          <w:p>
            <w:pPr>
              <w:rPr/>
            </w:pPr>
            <w:r>
              <w:rPr/>
              <w:fldChar w:fldCharType="begin"/>
            </w:r>
            <w:r>
              <w:rPr/>
              <w:instrText> PAGEREF  id9 \* MERGEFORMAT </w:instrText>
            </w:r>
            <w:r>
              <w:rPr/>
              <w:fldChar w:fldCharType="separate"/>
            </w:r>
            <w:r>
              <w:rPr>
                <w:noProof/>
              </w:rPr>
              <w:t>ctr-a, F9</w:t>
            </w:r>
            <w:r>
              <w:rPr>
                <w:noProof/>
              </w:rPr>
              <w:fldChar w:fldCharType="end"/>
            </w:r>
          </w:p>
        </w:tc>
      </w:tr>
      <w:tr>
        <w:tc>
          <w:tcPr>
            <w:tcW w:w="2000" w:type="pct"/>
          </w:tcPr>
          <w:p>
            <w:pPr>
              <w:rPr/>
            </w:pPr>
            <w:hyperlink w:anchor="id10" w:tooltip="Representations" w:history="1">
              <w:r>
                <w:t>Representations</w:t>
              </w:r>
            </w:hyperlink>
          </w:p>
        </w:tc>
        <w:tc>
          <w:tcPr>
            <w:tcW w:w="1900" w:type="pct"/>
          </w:tcPr>
          <w:p/>
        </w:tc>
        <w:tc>
          <w:tcPr>
            <w:tcW w:w="600" w:type="pct"/>
          </w:tcPr>
          <w:p>
            <w:r>
              <w:t>3.7.0</w:t>
            </w:r>
          </w:p>
        </w:tc>
        <w:tc>
          <w:tcPr>
            <w:tcW w:w="500" w:type="pct"/>
          </w:tcPr>
          <w:p>
            <w:pPr>
              <w:rPr/>
            </w:pPr>
            <w:r>
              <w:rPr/>
              <w:fldChar w:fldCharType="begin"/>
            </w:r>
            <w:r>
              <w:rPr/>
              <w:instrText> PAGEREF  id10 \* MERGEFORMAT </w:instrText>
            </w:r>
            <w:r>
              <w:rPr/>
              <w:fldChar w:fldCharType="separate"/>
            </w:r>
            <w:r>
              <w:rPr>
                <w:noProof/>
              </w:rPr>
              <w:t>ctr-a, F9</w:t>
            </w:r>
            <w:r>
              <w:rPr>
                <w:noProof/>
              </w:rPr>
              <w:fldChar w:fldCharType="end"/>
            </w:r>
          </w:p>
        </w:tc>
      </w:tr>
      <w:tr>
        <w:tc>
          <w:tcPr>
            <w:tcW w:w="2000" w:type="pct"/>
          </w:tcPr>
          <w:p>
            <w:pPr>
              <w:rPr/>
            </w:pPr>
            <w:hyperlink w:anchor="id11" w:tooltip="Service coordination" w:history="1">
              <w:r>
                <w:t>Service coordination</w:t>
              </w:r>
            </w:hyperlink>
          </w:p>
        </w:tc>
        <w:tc>
          <w:tcPr>
            <w:tcW w:w="1900" w:type="pct"/>
          </w:tcPr>
          <w:p/>
        </w:tc>
        <w:tc>
          <w:tcPr>
            <w:tcW w:w="600" w:type="pct"/>
          </w:tcPr>
          <w:p>
            <w:r>
              <w:t>3.6.0</w:t>
            </w:r>
          </w:p>
        </w:tc>
        <w:tc>
          <w:tcPr>
            <w:tcW w:w="500" w:type="pct"/>
          </w:tcPr>
          <w:p>
            <w:pPr>
              <w:rPr/>
            </w:pPr>
            <w:r>
              <w:rPr/>
              <w:fldChar w:fldCharType="begin"/>
            </w:r>
            <w:r>
              <w:rPr/>
              <w:instrText> PAGEREF  id11 \* MERGEFORMAT </w:instrText>
            </w:r>
            <w:r>
              <w:rPr/>
              <w:fldChar w:fldCharType="separate"/>
            </w:r>
            <w:r>
              <w:rPr>
                <w:noProof/>
              </w:rPr>
              <w:t>ctr-a, F9</w:t>
            </w:r>
            <w:r>
              <w:rPr>
                <w:noProof/>
              </w:rPr>
              <w:fldChar w:fldCharType="end"/>
            </w:r>
          </w:p>
        </w:tc>
      </w:tr>
      <w:tr>
        <w:tc>
          <w:tcPr>
            <w:tcW w:w="2000" w:type="pct"/>
          </w:tcPr>
          <w:p>
            <w:pPr>
              <w:rPr/>
            </w:pPr>
            <w:hyperlink w:anchor="id12" w:tooltip="EMERGENCY MANAGEMENT" w:history="1">
              <w:r>
                <w:t>EMERGENCY MANAGEMENT</w:t>
              </w:r>
            </w:hyperlink>
          </w:p>
        </w:tc>
        <w:tc>
          <w:tcPr>
            <w:tcW w:w="1900" w:type="pct"/>
          </w:tcPr>
          <w:p/>
        </w:tc>
        <w:tc>
          <w:tcPr>
            <w:tcW w:w="600" w:type="pct"/>
          </w:tcPr>
          <w:p>
            <w:r>
              <w:t>4.0.0</w:t>
            </w:r>
          </w:p>
        </w:tc>
        <w:tc>
          <w:tcPr>
            <w:tcW w:w="500" w:type="pct"/>
          </w:tcPr>
          <w:p>
            <w:pPr>
              <w:rPr/>
            </w:pPr>
            <w:r>
              <w:rPr/>
              <w:fldChar w:fldCharType="begin"/>
            </w:r>
            <w:r>
              <w:rPr/>
              <w:instrText> PAGEREF  id12 \* MERGEFORMAT </w:instrText>
            </w:r>
            <w:r>
              <w:rPr/>
              <w:fldChar w:fldCharType="separate"/>
            </w:r>
            <w:r>
              <w:rPr>
                <w:noProof/>
              </w:rPr>
              <w:t>ctr-a, F9</w:t>
            </w:r>
            <w:r>
              <w:rPr>
                <w:noProof/>
              </w:rPr>
              <w:fldChar w:fldCharType="end"/>
            </w:r>
          </w:p>
        </w:tc>
      </w:tr>
      <w:tr>
        <w:tc>
          <w:tcPr>
            <w:tcW w:w="2000" w:type="pct"/>
          </w:tcPr>
          <w:p>
            <w:pPr>
              <w:rPr/>
            </w:pPr>
            <w:hyperlink w:anchor="id13" w:tooltip="Advice" w:history="1">
              <w:r>
                <w:t>Advice</w:t>
              </w:r>
            </w:hyperlink>
          </w:p>
        </w:tc>
        <w:tc>
          <w:tcPr>
            <w:tcW w:w="1900" w:type="pct"/>
          </w:tcPr>
          <w:p/>
        </w:tc>
        <w:tc>
          <w:tcPr>
            <w:tcW w:w="600" w:type="pct"/>
          </w:tcPr>
          <w:p>
            <w:r>
              <w:t>4.1.0</w:t>
            </w:r>
          </w:p>
        </w:tc>
        <w:tc>
          <w:tcPr>
            <w:tcW w:w="500" w:type="pct"/>
          </w:tcPr>
          <w:p>
            <w:pPr>
              <w:rPr/>
            </w:pPr>
            <w:r>
              <w:rPr/>
              <w:fldChar w:fldCharType="begin"/>
            </w:r>
            <w:r>
              <w:rPr/>
              <w:instrText> PAGEREF  id13 \* MERGEFORMAT </w:instrText>
            </w:r>
            <w:r>
              <w:rPr/>
              <w:fldChar w:fldCharType="separate"/>
            </w:r>
            <w:r>
              <w:rPr>
                <w:noProof/>
              </w:rPr>
              <w:t>ctr-a, F9</w:t>
            </w:r>
            <w:r>
              <w:rPr>
                <w:noProof/>
              </w:rPr>
              <w:fldChar w:fldCharType="end"/>
            </w:r>
          </w:p>
        </w:tc>
      </w:tr>
      <w:tr>
        <w:tc>
          <w:tcPr>
            <w:tcW w:w="2000" w:type="pct"/>
          </w:tcPr>
          <w:p>
            <w:pPr>
              <w:rPr/>
            </w:pPr>
            <w:hyperlink w:anchor="id14" w:tooltip="Community Liaison" w:history="1">
              <w:r>
                <w:t>Community Liaison</w:t>
              </w:r>
            </w:hyperlink>
          </w:p>
        </w:tc>
        <w:tc>
          <w:tcPr>
            <w:tcW w:w="1900" w:type="pct"/>
          </w:tcPr>
          <w:p/>
        </w:tc>
        <w:tc>
          <w:tcPr>
            <w:tcW w:w="600" w:type="pct"/>
          </w:tcPr>
          <w:p>
            <w:r>
              <w:t>4.2.0</w:t>
            </w:r>
          </w:p>
        </w:tc>
        <w:tc>
          <w:tcPr>
            <w:tcW w:w="500" w:type="pct"/>
          </w:tcPr>
          <w:p>
            <w:pPr>
              <w:rPr/>
            </w:pPr>
            <w:r>
              <w:rPr/>
              <w:fldChar w:fldCharType="begin"/>
            </w:r>
            <w:r>
              <w:rPr/>
              <w:instrText> PAGEREF  id14 \* MERGEFORMAT </w:instrText>
            </w:r>
            <w:r>
              <w:rPr/>
              <w:fldChar w:fldCharType="separate"/>
            </w:r>
            <w:r>
              <w:rPr>
                <w:noProof/>
              </w:rPr>
              <w:t>ctr-a, F9</w:t>
            </w:r>
            <w:r>
              <w:rPr>
                <w:noProof/>
              </w:rPr>
              <w:fldChar w:fldCharType="end"/>
            </w:r>
          </w:p>
        </w:tc>
      </w:tr>
      <w:tr>
        <w:tc>
          <w:tcPr>
            <w:tcW w:w="2000" w:type="pct"/>
          </w:tcPr>
          <w:p>
            <w:pPr>
              <w:rPr/>
            </w:pPr>
            <w:hyperlink w:anchor="id15" w:tooltip="Emergency and disaster response" w:history="1">
              <w:r>
                <w:t>Emergency and disaster response</w:t>
              </w:r>
            </w:hyperlink>
          </w:p>
        </w:tc>
        <w:tc>
          <w:tcPr>
            <w:tcW w:w="1900" w:type="pct"/>
          </w:tcPr>
          <w:p/>
        </w:tc>
        <w:tc>
          <w:tcPr>
            <w:tcW w:w="600" w:type="pct"/>
          </w:tcPr>
          <w:p>
            <w:r>
              <w:t>4.3.0</w:t>
            </w:r>
          </w:p>
        </w:tc>
        <w:tc>
          <w:tcPr>
            <w:tcW w:w="500" w:type="pct"/>
          </w:tcPr>
          <w:p>
            <w:pPr>
              <w:rPr/>
            </w:pPr>
            <w:r>
              <w:rPr/>
              <w:fldChar w:fldCharType="begin"/>
            </w:r>
            <w:r>
              <w:rPr/>
              <w:instrText> PAGEREF  id15 \* MERGEFORMAT </w:instrText>
            </w:r>
            <w:r>
              <w:rPr/>
              <w:fldChar w:fldCharType="separate"/>
            </w:r>
            <w:r>
              <w:rPr>
                <w:noProof/>
              </w:rPr>
              <w:t>ctr-a, F9</w:t>
            </w:r>
            <w:r>
              <w:rPr>
                <w:noProof/>
              </w:rPr>
              <w:fldChar w:fldCharType="end"/>
            </w:r>
          </w:p>
        </w:tc>
      </w:tr>
      <w:tr>
        <w:tc>
          <w:tcPr>
            <w:tcW w:w="2000" w:type="pct"/>
          </w:tcPr>
          <w:p>
            <w:pPr>
              <w:rPr/>
            </w:pPr>
            <w:hyperlink w:anchor="id16" w:tooltip="Exercises &amp; training" w:history="1">
              <w:r>
                <w:t>Exercises &amp; training</w:t>
              </w:r>
            </w:hyperlink>
          </w:p>
        </w:tc>
        <w:tc>
          <w:tcPr>
            <w:tcW w:w="1900" w:type="pct"/>
          </w:tcPr>
          <w:p/>
        </w:tc>
        <w:tc>
          <w:tcPr>
            <w:tcW w:w="600" w:type="pct"/>
          </w:tcPr>
          <w:p>
            <w:r>
              <w:t>4.4.0</w:t>
            </w:r>
          </w:p>
        </w:tc>
        <w:tc>
          <w:tcPr>
            <w:tcW w:w="500" w:type="pct"/>
          </w:tcPr>
          <w:p>
            <w:pPr>
              <w:rPr/>
            </w:pPr>
            <w:r>
              <w:rPr/>
              <w:fldChar w:fldCharType="begin"/>
            </w:r>
            <w:r>
              <w:rPr/>
              <w:instrText> PAGEREF  id16 \* MERGEFORMAT </w:instrText>
            </w:r>
            <w:r>
              <w:rPr/>
              <w:fldChar w:fldCharType="separate"/>
            </w:r>
            <w:r>
              <w:rPr>
                <w:noProof/>
              </w:rPr>
              <w:t>ctr-a, F9</w:t>
            </w:r>
            <w:r>
              <w:rPr>
                <w:noProof/>
              </w:rPr>
              <w:fldChar w:fldCharType="end"/>
            </w:r>
          </w:p>
        </w:tc>
      </w:tr>
      <w:tr>
        <w:tc>
          <w:tcPr>
            <w:tcW w:w="2000" w:type="pct"/>
          </w:tcPr>
          <w:p>
            <w:pPr>
              <w:rPr/>
            </w:pPr>
            <w:hyperlink w:anchor="id17" w:tooltip="Implementation" w:history="1">
              <w:r>
                <w:t>Implementation</w:t>
              </w:r>
            </w:hyperlink>
          </w:p>
        </w:tc>
        <w:tc>
          <w:tcPr>
            <w:tcW w:w="1900" w:type="pct"/>
          </w:tcPr>
          <w:p/>
        </w:tc>
        <w:tc>
          <w:tcPr>
            <w:tcW w:w="600" w:type="pct"/>
          </w:tcPr>
          <w:p>
            <w:r>
              <w:t>4.5.0</w:t>
            </w:r>
          </w:p>
        </w:tc>
        <w:tc>
          <w:tcPr>
            <w:tcW w:w="500" w:type="pct"/>
          </w:tcPr>
          <w:p>
            <w:pPr>
              <w:rPr/>
            </w:pPr>
            <w:r>
              <w:rPr/>
              <w:fldChar w:fldCharType="begin"/>
            </w:r>
            <w:r>
              <w:rPr/>
              <w:instrText> PAGEREF  id17 \* MERGEFORMAT </w:instrText>
            </w:r>
            <w:r>
              <w:rPr/>
              <w:fldChar w:fldCharType="separate"/>
            </w:r>
            <w:r>
              <w:rPr>
                <w:noProof/>
              </w:rPr>
              <w:t>ctr-a, F9</w:t>
            </w:r>
            <w:r>
              <w:rPr>
                <w:noProof/>
              </w:rPr>
              <w:fldChar w:fldCharType="end"/>
            </w:r>
          </w:p>
        </w:tc>
      </w:tr>
      <w:tr>
        <w:tc>
          <w:tcPr>
            <w:tcW w:w="2000" w:type="pct"/>
          </w:tcPr>
          <w:p>
            <w:pPr>
              <w:rPr/>
            </w:pPr>
            <w:hyperlink w:anchor="id18" w:tooltip="Media &amp; Public Information Campaigns" w:history="1">
              <w:r>
                <w:t>Media &amp; Public Information Campaigns</w:t>
              </w:r>
            </w:hyperlink>
          </w:p>
        </w:tc>
        <w:tc>
          <w:tcPr>
            <w:tcW w:w="1900" w:type="pct"/>
          </w:tcPr>
          <w:p/>
        </w:tc>
        <w:tc>
          <w:tcPr>
            <w:tcW w:w="600" w:type="pct"/>
          </w:tcPr>
          <w:p>
            <w:r>
              <w:t>4.6.0</w:t>
            </w:r>
          </w:p>
        </w:tc>
        <w:tc>
          <w:tcPr>
            <w:tcW w:w="500" w:type="pct"/>
          </w:tcPr>
          <w:p>
            <w:pPr>
              <w:rPr/>
            </w:pPr>
            <w:r>
              <w:rPr/>
              <w:fldChar w:fldCharType="begin"/>
            </w:r>
            <w:r>
              <w:rPr/>
              <w:instrText> PAGEREF  id18 \* MERGEFORMAT </w:instrText>
            </w:r>
            <w:r>
              <w:rPr/>
              <w:fldChar w:fldCharType="separate"/>
            </w:r>
            <w:r>
              <w:rPr>
                <w:noProof/>
              </w:rPr>
              <w:t>ctr-a, F9</w:t>
            </w:r>
            <w:r>
              <w:rPr>
                <w:noProof/>
              </w:rPr>
              <w:fldChar w:fldCharType="end"/>
            </w:r>
          </w:p>
        </w:tc>
      </w:tr>
      <w:tr>
        <w:tc>
          <w:tcPr>
            <w:tcW w:w="2000" w:type="pct"/>
          </w:tcPr>
          <w:p>
            <w:pPr>
              <w:rPr/>
            </w:pPr>
            <w:hyperlink w:anchor="id19" w:tooltip="Planning" w:history="1">
              <w:r>
                <w:t>Planning</w:t>
              </w:r>
            </w:hyperlink>
          </w:p>
        </w:tc>
        <w:tc>
          <w:tcPr>
            <w:tcW w:w="1900" w:type="pct"/>
          </w:tcPr>
          <w:p/>
        </w:tc>
        <w:tc>
          <w:tcPr>
            <w:tcW w:w="600" w:type="pct"/>
          </w:tcPr>
          <w:p>
            <w:r>
              <w:t>4.7.0</w:t>
            </w:r>
          </w:p>
        </w:tc>
        <w:tc>
          <w:tcPr>
            <w:tcW w:w="500" w:type="pct"/>
          </w:tcPr>
          <w:p>
            <w:pPr>
              <w:rPr/>
            </w:pPr>
            <w:r>
              <w:rPr/>
              <w:fldChar w:fldCharType="begin"/>
            </w:r>
            <w:r>
              <w:rPr/>
              <w:instrText> PAGEREF  id19 \* MERGEFORMAT </w:instrText>
            </w:r>
            <w:r>
              <w:rPr/>
              <w:fldChar w:fldCharType="separate"/>
            </w:r>
            <w:r>
              <w:rPr>
                <w:noProof/>
              </w:rPr>
              <w:t>ctr-a, F9</w:t>
            </w:r>
            <w:r>
              <w:rPr>
                <w:noProof/>
              </w:rPr>
              <w:fldChar w:fldCharType="end"/>
            </w:r>
          </w:p>
        </w:tc>
      </w:tr>
      <w:tr>
        <w:tc>
          <w:tcPr>
            <w:tcW w:w="2000" w:type="pct"/>
          </w:tcPr>
          <w:p>
            <w:pPr>
              <w:rPr/>
            </w:pPr>
            <w:hyperlink w:anchor="id20" w:tooltip="Policy" w:history="1">
              <w:r>
                <w:t>Policy</w:t>
              </w:r>
            </w:hyperlink>
          </w:p>
        </w:tc>
        <w:tc>
          <w:tcPr>
            <w:tcW w:w="1900" w:type="pct"/>
          </w:tcPr>
          <w:p/>
        </w:tc>
        <w:tc>
          <w:tcPr>
            <w:tcW w:w="600" w:type="pct"/>
          </w:tcPr>
          <w:p>
            <w:r>
              <w:t>4.8.0</w:t>
            </w:r>
          </w:p>
        </w:tc>
        <w:tc>
          <w:tcPr>
            <w:tcW w:w="500" w:type="pct"/>
          </w:tcPr>
          <w:p>
            <w:pPr>
              <w:rPr/>
            </w:pPr>
            <w:r>
              <w:rPr/>
              <w:fldChar w:fldCharType="begin"/>
            </w:r>
            <w:r>
              <w:rPr/>
              <w:instrText> PAGEREF  id20 \* MERGEFORMAT </w:instrText>
            </w:r>
            <w:r>
              <w:rPr/>
              <w:fldChar w:fldCharType="separate"/>
            </w:r>
            <w:r>
              <w:rPr>
                <w:noProof/>
              </w:rPr>
              <w:t>ctr-a, F9</w:t>
            </w:r>
            <w:r>
              <w:rPr>
                <w:noProof/>
              </w:rPr>
              <w:fldChar w:fldCharType="end"/>
            </w:r>
          </w:p>
        </w:tc>
      </w:tr>
      <w:tr>
        <w:tc>
          <w:tcPr>
            <w:tcW w:w="2000" w:type="pct"/>
          </w:tcPr>
          <w:p>
            <w:pPr>
              <w:rPr/>
            </w:pPr>
            <w:hyperlink w:anchor="id21" w:tooltip="Procedures" w:history="1">
              <w:r>
                <w:t>Procedures</w:t>
              </w:r>
            </w:hyperlink>
          </w:p>
        </w:tc>
        <w:tc>
          <w:tcPr>
            <w:tcW w:w="1900" w:type="pct"/>
          </w:tcPr>
          <w:p/>
        </w:tc>
        <w:tc>
          <w:tcPr>
            <w:tcW w:w="600" w:type="pct"/>
          </w:tcPr>
          <w:p>
            <w:r>
              <w:t>4.9.0</w:t>
            </w:r>
          </w:p>
        </w:tc>
        <w:tc>
          <w:tcPr>
            <w:tcW w:w="500" w:type="pct"/>
          </w:tcPr>
          <w:p>
            <w:pPr>
              <w:rPr/>
            </w:pPr>
            <w:r>
              <w:rPr/>
              <w:fldChar w:fldCharType="begin"/>
            </w:r>
            <w:r>
              <w:rPr/>
              <w:instrText> PAGEREF  id21 \* MERGEFORMAT </w:instrText>
            </w:r>
            <w:r>
              <w:rPr/>
              <w:fldChar w:fldCharType="separate"/>
            </w:r>
            <w:r>
              <w:rPr>
                <w:noProof/>
              </w:rPr>
              <w:t>ctr-a, F9</w:t>
            </w:r>
            <w:r>
              <w:rPr>
                <w:noProof/>
              </w:rPr>
              <w:fldChar w:fldCharType="end"/>
            </w:r>
          </w:p>
        </w:tc>
      </w:tr>
      <w:tr>
        <w:tc>
          <w:tcPr>
            <w:tcW w:w="2000" w:type="pct"/>
          </w:tcPr>
          <w:p>
            <w:pPr>
              <w:rPr/>
            </w:pPr>
            <w:hyperlink w:anchor="id22" w:tooltip="Programs" w:history="1">
              <w:r>
                <w:t>Programs</w:t>
              </w:r>
            </w:hyperlink>
          </w:p>
        </w:tc>
        <w:tc>
          <w:tcPr>
            <w:tcW w:w="1900" w:type="pct"/>
          </w:tcPr>
          <w:p/>
        </w:tc>
        <w:tc>
          <w:tcPr>
            <w:tcW w:w="600" w:type="pct"/>
          </w:tcPr>
          <w:p>
            <w:r>
              <w:t>4.10.0</w:t>
            </w:r>
          </w:p>
        </w:tc>
        <w:tc>
          <w:tcPr>
            <w:tcW w:w="500" w:type="pct"/>
          </w:tcPr>
          <w:p>
            <w:pPr>
              <w:rPr/>
            </w:pPr>
            <w:r>
              <w:rPr/>
              <w:fldChar w:fldCharType="begin"/>
            </w:r>
            <w:r>
              <w:rPr/>
              <w:instrText> PAGEREF  id22 \* MERGEFORMAT </w:instrText>
            </w:r>
            <w:r>
              <w:rPr/>
              <w:fldChar w:fldCharType="separate"/>
            </w:r>
            <w:r>
              <w:rPr>
                <w:noProof/>
              </w:rPr>
              <w:t>ctr-a, F9</w:t>
            </w:r>
            <w:r>
              <w:rPr>
                <w:noProof/>
              </w:rPr>
              <w:fldChar w:fldCharType="end"/>
            </w:r>
          </w:p>
        </w:tc>
      </w:tr>
      <w:tr>
        <w:tc>
          <w:tcPr>
            <w:tcW w:w="2000" w:type="pct"/>
          </w:tcPr>
          <w:p>
            <w:pPr>
              <w:rPr/>
            </w:pPr>
            <w:hyperlink w:anchor="id23" w:tooltip="Reviewing" w:history="1">
              <w:r>
                <w:t>Reviewing</w:t>
              </w:r>
            </w:hyperlink>
          </w:p>
        </w:tc>
        <w:tc>
          <w:tcPr>
            <w:tcW w:w="1900" w:type="pct"/>
          </w:tcPr>
          <w:p/>
        </w:tc>
        <w:tc>
          <w:tcPr>
            <w:tcW w:w="600" w:type="pct"/>
          </w:tcPr>
          <w:p>
            <w:r>
              <w:t>4.11.0</w:t>
            </w:r>
          </w:p>
        </w:tc>
        <w:tc>
          <w:tcPr>
            <w:tcW w:w="500" w:type="pct"/>
          </w:tcPr>
          <w:p>
            <w:pPr>
              <w:rPr/>
            </w:pPr>
            <w:r>
              <w:rPr/>
              <w:fldChar w:fldCharType="begin"/>
            </w:r>
            <w:r>
              <w:rPr/>
              <w:instrText> PAGEREF  id23 \* MERGEFORMAT </w:instrText>
            </w:r>
            <w:r>
              <w:rPr/>
              <w:fldChar w:fldCharType="separate"/>
            </w:r>
            <w:r>
              <w:rPr>
                <w:noProof/>
              </w:rPr>
              <w:t>ctr-a, F9</w:t>
            </w:r>
            <w:r>
              <w:rPr>
                <w:noProof/>
              </w:rPr>
              <w:fldChar w:fldCharType="end"/>
            </w:r>
          </w:p>
        </w:tc>
      </w:tr>
      <w:tr>
        <w:tc>
          <w:tcPr>
            <w:tcW w:w="2000" w:type="pct"/>
          </w:tcPr>
          <w:p>
            <w:pPr>
              <w:rPr/>
            </w:pPr>
            <w:hyperlink w:anchor="id24" w:tooltip="MINISTERIAL AND PARLIAMENTARY SERVICES" w:history="1">
              <w:r>
                <w:t>MINISTERIAL AND PARLIAMENTARY SERVICES</w:t>
              </w:r>
            </w:hyperlink>
          </w:p>
        </w:tc>
        <w:tc>
          <w:tcPr>
            <w:tcW w:w="1900" w:type="pct"/>
          </w:tcPr>
          <w:p/>
        </w:tc>
        <w:tc>
          <w:tcPr>
            <w:tcW w:w="600" w:type="pct"/>
          </w:tcPr>
          <w:p>
            <w:r>
              <w:t>5.0.0</w:t>
            </w:r>
          </w:p>
        </w:tc>
        <w:tc>
          <w:tcPr>
            <w:tcW w:w="500" w:type="pct"/>
          </w:tcPr>
          <w:p>
            <w:pPr>
              <w:rPr/>
            </w:pPr>
            <w:r>
              <w:rPr/>
              <w:fldChar w:fldCharType="begin"/>
            </w:r>
            <w:r>
              <w:rPr/>
              <w:instrText> PAGEREF  id24 \* MERGEFORMAT </w:instrText>
            </w:r>
            <w:r>
              <w:rPr/>
              <w:fldChar w:fldCharType="separate"/>
            </w:r>
            <w:r>
              <w:rPr>
                <w:noProof/>
              </w:rPr>
              <w:t>ctr-a, F9</w:t>
            </w:r>
            <w:r>
              <w:rPr>
                <w:noProof/>
              </w:rPr>
              <w:fldChar w:fldCharType="end"/>
            </w:r>
          </w:p>
        </w:tc>
      </w:tr>
      <w:tr>
        <w:tc>
          <w:tcPr>
            <w:tcW w:w="2000" w:type="pct"/>
          </w:tcPr>
          <w:p>
            <w:pPr>
              <w:rPr/>
            </w:pPr>
            <w:hyperlink w:anchor="id25" w:tooltip="Audit" w:history="1">
              <w:r>
                <w:t>Audit</w:t>
              </w:r>
            </w:hyperlink>
          </w:p>
        </w:tc>
        <w:tc>
          <w:tcPr>
            <w:tcW w:w="1900" w:type="pct"/>
          </w:tcPr>
          <w:p/>
        </w:tc>
        <w:tc>
          <w:tcPr>
            <w:tcW w:w="600" w:type="pct"/>
          </w:tcPr>
          <w:p>
            <w:r>
              <w:t>5.1.0</w:t>
            </w:r>
          </w:p>
        </w:tc>
        <w:tc>
          <w:tcPr>
            <w:tcW w:w="500" w:type="pct"/>
          </w:tcPr>
          <w:p>
            <w:pPr>
              <w:rPr/>
            </w:pPr>
            <w:r>
              <w:rPr/>
              <w:fldChar w:fldCharType="begin"/>
            </w:r>
            <w:r>
              <w:rPr/>
              <w:instrText> PAGEREF  id25 \* MERGEFORMAT </w:instrText>
            </w:r>
            <w:r>
              <w:rPr/>
              <w:fldChar w:fldCharType="separate"/>
            </w:r>
            <w:r>
              <w:rPr>
                <w:noProof/>
              </w:rPr>
              <w:t>ctr-a, F9</w:t>
            </w:r>
            <w:r>
              <w:rPr>
                <w:noProof/>
              </w:rPr>
              <w:fldChar w:fldCharType="end"/>
            </w:r>
          </w:p>
        </w:tc>
      </w:tr>
      <w:tr>
        <w:tc>
          <w:tcPr>
            <w:tcW w:w="2000" w:type="pct"/>
          </w:tcPr>
          <w:p>
            <w:pPr>
              <w:rPr/>
            </w:pPr>
            <w:hyperlink w:anchor="id26" w:tooltip="Leave" w:history="1">
              <w:r>
                <w:t>Leave</w:t>
              </w:r>
            </w:hyperlink>
          </w:p>
        </w:tc>
        <w:tc>
          <w:tcPr>
            <w:tcW w:w="1900" w:type="pct"/>
          </w:tcPr>
          <w:p/>
        </w:tc>
        <w:tc>
          <w:tcPr>
            <w:tcW w:w="600" w:type="pct"/>
          </w:tcPr>
          <w:p>
            <w:r>
              <w:t>5.2.0</w:t>
            </w:r>
          </w:p>
        </w:tc>
        <w:tc>
          <w:tcPr>
            <w:tcW w:w="500" w:type="pct"/>
          </w:tcPr>
          <w:p>
            <w:pPr>
              <w:rPr/>
            </w:pPr>
            <w:r>
              <w:rPr/>
              <w:fldChar w:fldCharType="begin"/>
            </w:r>
            <w:r>
              <w:rPr/>
              <w:instrText> PAGEREF  id26 \* MERGEFORMAT </w:instrText>
            </w:r>
            <w:r>
              <w:rPr/>
              <w:fldChar w:fldCharType="separate"/>
            </w:r>
            <w:r>
              <w:rPr>
                <w:noProof/>
              </w:rPr>
              <w:t>ctr-a, F9</w:t>
            </w:r>
            <w:r>
              <w:rPr>
                <w:noProof/>
              </w:rPr>
              <w:fldChar w:fldCharType="end"/>
            </w:r>
          </w:p>
        </w:tc>
      </w:tr>
      <w:tr>
        <w:tc>
          <w:tcPr>
            <w:tcW w:w="2000" w:type="pct"/>
          </w:tcPr>
          <w:p>
            <w:pPr>
              <w:rPr/>
            </w:pPr>
            <w:hyperlink w:anchor="id27" w:tooltip="Policy" w:history="1">
              <w:r>
                <w:t>Policy</w:t>
              </w:r>
            </w:hyperlink>
          </w:p>
        </w:tc>
        <w:tc>
          <w:tcPr>
            <w:tcW w:w="1900" w:type="pct"/>
          </w:tcPr>
          <w:p/>
        </w:tc>
        <w:tc>
          <w:tcPr>
            <w:tcW w:w="600" w:type="pct"/>
          </w:tcPr>
          <w:p>
            <w:r>
              <w:t>5.3.0</w:t>
            </w:r>
          </w:p>
        </w:tc>
        <w:tc>
          <w:tcPr>
            <w:tcW w:w="500" w:type="pct"/>
          </w:tcPr>
          <w:p>
            <w:pPr>
              <w:rPr/>
            </w:pPr>
            <w:r>
              <w:rPr/>
              <w:fldChar w:fldCharType="begin"/>
            </w:r>
            <w:r>
              <w:rPr/>
              <w:instrText> PAGEREF  id27 \* MERGEFORMAT </w:instrText>
            </w:r>
            <w:r>
              <w:rPr/>
              <w:fldChar w:fldCharType="separate"/>
            </w:r>
            <w:r>
              <w:rPr>
                <w:noProof/>
              </w:rPr>
              <w:t>ctr-a, F9</w:t>
            </w:r>
            <w:r>
              <w:rPr>
                <w:noProof/>
              </w:rPr>
              <w:fldChar w:fldCharType="end"/>
            </w:r>
          </w:p>
        </w:tc>
      </w:tr>
      <w:tr>
        <w:tc>
          <w:tcPr>
            <w:tcW w:w="2000" w:type="pct"/>
          </w:tcPr>
          <w:p>
            <w:pPr>
              <w:rPr/>
            </w:pPr>
            <w:hyperlink w:anchor="id28" w:tooltip="Security (includes Ministerial protection)" w:history="1">
              <w:r>
                <w:t>Security (includes Ministerial protection)</w:t>
              </w:r>
            </w:hyperlink>
          </w:p>
        </w:tc>
        <w:tc>
          <w:tcPr>
            <w:tcW w:w="1900" w:type="pct"/>
          </w:tcPr>
          <w:p/>
        </w:tc>
        <w:tc>
          <w:tcPr>
            <w:tcW w:w="600" w:type="pct"/>
          </w:tcPr>
          <w:p>
            <w:r>
              <w:t>5.4.0</w:t>
            </w:r>
          </w:p>
        </w:tc>
        <w:tc>
          <w:tcPr>
            <w:tcW w:w="500" w:type="pct"/>
          </w:tcPr>
          <w:p>
            <w:pPr>
              <w:rPr/>
            </w:pPr>
            <w:r>
              <w:rPr/>
              <w:fldChar w:fldCharType="begin"/>
            </w:r>
            <w:r>
              <w:rPr/>
              <w:instrText> PAGEREF  id28 \* MERGEFORMAT </w:instrText>
            </w:r>
            <w:r>
              <w:rPr/>
              <w:fldChar w:fldCharType="separate"/>
            </w:r>
            <w:r>
              <w:rPr>
                <w:noProof/>
              </w:rPr>
              <w:t>ctr-a, F9</w:t>
            </w:r>
            <w:r>
              <w:rPr>
                <w:noProof/>
              </w:rPr>
              <w:fldChar w:fldCharType="end"/>
            </w:r>
          </w:p>
        </w:tc>
      </w:tr>
      <w:tr>
        <w:tc>
          <w:tcPr>
            <w:tcW w:w="2000" w:type="pct"/>
          </w:tcPr>
          <w:p>
            <w:pPr>
              <w:rPr/>
            </w:pPr>
            <w:hyperlink w:anchor="id29" w:tooltip="PROTOCOL AND EVENTS" w:history="1">
              <w:r>
                <w:t>PROTOCOL AND EVENTS</w:t>
              </w:r>
            </w:hyperlink>
          </w:p>
        </w:tc>
        <w:tc>
          <w:tcPr>
            <w:tcW w:w="1900" w:type="pct"/>
          </w:tcPr>
          <w:p/>
        </w:tc>
        <w:tc>
          <w:tcPr>
            <w:tcW w:w="600" w:type="pct"/>
          </w:tcPr>
          <w:p>
            <w:r>
              <w:t>6.0.0</w:t>
            </w:r>
          </w:p>
        </w:tc>
        <w:tc>
          <w:tcPr>
            <w:tcW w:w="500" w:type="pct"/>
          </w:tcPr>
          <w:p>
            <w:pPr>
              <w:rPr/>
            </w:pPr>
            <w:r>
              <w:rPr/>
              <w:fldChar w:fldCharType="begin"/>
            </w:r>
            <w:r>
              <w:rPr/>
              <w:instrText> PAGEREF  id29 \* MERGEFORMAT </w:instrText>
            </w:r>
            <w:r>
              <w:rPr/>
              <w:fldChar w:fldCharType="separate"/>
            </w:r>
            <w:r>
              <w:rPr>
                <w:noProof/>
              </w:rPr>
              <w:t>ctr-a, F9</w:t>
            </w:r>
            <w:r>
              <w:rPr>
                <w:noProof/>
              </w:rPr>
              <w:fldChar w:fldCharType="end"/>
            </w:r>
          </w:p>
        </w:tc>
      </w:tr>
      <w:tr>
        <w:tc>
          <w:tcPr>
            <w:tcW w:w="2000" w:type="pct"/>
          </w:tcPr>
          <w:p>
            <w:pPr>
              <w:rPr/>
            </w:pPr>
            <w:hyperlink w:anchor="id30" w:tooltip="Awards and honours" w:history="1">
              <w:r>
                <w:t>Awards and honours</w:t>
              </w:r>
            </w:hyperlink>
          </w:p>
        </w:tc>
        <w:tc>
          <w:tcPr>
            <w:tcW w:w="1900" w:type="pct"/>
          </w:tcPr>
          <w:p/>
        </w:tc>
        <w:tc>
          <w:tcPr>
            <w:tcW w:w="600" w:type="pct"/>
          </w:tcPr>
          <w:p>
            <w:r>
              <w:t>6.1.0</w:t>
            </w:r>
          </w:p>
        </w:tc>
        <w:tc>
          <w:tcPr>
            <w:tcW w:w="500" w:type="pct"/>
          </w:tcPr>
          <w:p>
            <w:pPr>
              <w:rPr/>
            </w:pPr>
            <w:r>
              <w:rPr/>
              <w:fldChar w:fldCharType="begin"/>
            </w:r>
            <w:r>
              <w:rPr/>
              <w:instrText> PAGEREF  id30 \* MERGEFORMAT </w:instrText>
            </w:r>
            <w:r>
              <w:rPr/>
              <w:fldChar w:fldCharType="separate"/>
            </w:r>
            <w:r>
              <w:rPr>
                <w:noProof/>
              </w:rPr>
              <w:t>ctr-a, F9</w:t>
            </w:r>
            <w:r>
              <w:rPr>
                <w:noProof/>
              </w:rPr>
              <w:fldChar w:fldCharType="end"/>
            </w:r>
          </w:p>
        </w:tc>
      </w:tr>
      <w:tr>
        <w:tc>
          <w:tcPr>
            <w:tcW w:w="2000" w:type="pct"/>
          </w:tcPr>
          <w:p>
            <w:pPr>
              <w:rPr/>
            </w:pPr>
            <w:hyperlink w:anchor="id31" w:tooltip="Celebrations, ceremonies and functions" w:history="1">
              <w:r>
                <w:t>Celebrations, ceremonies and functions</w:t>
              </w:r>
            </w:hyperlink>
          </w:p>
        </w:tc>
        <w:tc>
          <w:tcPr>
            <w:tcW w:w="1900" w:type="pct"/>
          </w:tcPr>
          <w:p/>
        </w:tc>
        <w:tc>
          <w:tcPr>
            <w:tcW w:w="600" w:type="pct"/>
          </w:tcPr>
          <w:p>
            <w:r>
              <w:t>6.2.0</w:t>
            </w:r>
          </w:p>
        </w:tc>
        <w:tc>
          <w:tcPr>
            <w:tcW w:w="500" w:type="pct"/>
          </w:tcPr>
          <w:p>
            <w:pPr>
              <w:rPr/>
            </w:pPr>
            <w:r>
              <w:rPr/>
              <w:fldChar w:fldCharType="begin"/>
            </w:r>
            <w:r>
              <w:rPr/>
              <w:instrText> PAGEREF  id31 \* MERGEFORMAT </w:instrText>
            </w:r>
            <w:r>
              <w:rPr/>
              <w:fldChar w:fldCharType="separate"/>
            </w:r>
            <w:r>
              <w:rPr>
                <w:noProof/>
              </w:rPr>
              <w:t>ctr-a, F9</w:t>
            </w:r>
            <w:r>
              <w:rPr>
                <w:noProof/>
              </w:rPr>
              <w:fldChar w:fldCharType="end"/>
            </w:r>
          </w:p>
        </w:tc>
      </w:tr>
      <w:tr>
        <w:tc>
          <w:tcPr>
            <w:tcW w:w="2000" w:type="pct"/>
          </w:tcPr>
          <w:p>
            <w:pPr>
              <w:rPr/>
            </w:pPr>
            <w:hyperlink w:anchor="id32" w:tooltip="Committees" w:history="1">
              <w:r>
                <w:t>Committees</w:t>
              </w:r>
            </w:hyperlink>
          </w:p>
        </w:tc>
        <w:tc>
          <w:tcPr>
            <w:tcW w:w="1900" w:type="pct"/>
          </w:tcPr>
          <w:p/>
        </w:tc>
        <w:tc>
          <w:tcPr>
            <w:tcW w:w="600" w:type="pct"/>
          </w:tcPr>
          <w:p>
            <w:r>
              <w:t>6.3.0</w:t>
            </w:r>
          </w:p>
        </w:tc>
        <w:tc>
          <w:tcPr>
            <w:tcW w:w="500" w:type="pct"/>
          </w:tcPr>
          <w:p>
            <w:pPr>
              <w:rPr/>
            </w:pPr>
            <w:r>
              <w:rPr/>
              <w:fldChar w:fldCharType="begin"/>
            </w:r>
            <w:r>
              <w:rPr/>
              <w:instrText> PAGEREF  id32 \* MERGEFORMAT </w:instrText>
            </w:r>
            <w:r>
              <w:rPr/>
              <w:fldChar w:fldCharType="separate"/>
            </w:r>
            <w:r>
              <w:rPr>
                <w:noProof/>
              </w:rPr>
              <w:t>ctr-a, F9</w:t>
            </w:r>
            <w:r>
              <w:rPr>
                <w:noProof/>
              </w:rPr>
              <w:fldChar w:fldCharType="end"/>
            </w:r>
          </w:p>
        </w:tc>
      </w:tr>
      <w:tr>
        <w:tc>
          <w:tcPr>
            <w:tcW w:w="2000" w:type="pct"/>
          </w:tcPr>
          <w:p>
            <w:pPr>
              <w:rPr/>
            </w:pPr>
            <w:hyperlink w:anchor="id33" w:tooltip="Emblem administration" w:history="1">
              <w:r>
                <w:t>Emblem administration</w:t>
              </w:r>
            </w:hyperlink>
          </w:p>
        </w:tc>
        <w:tc>
          <w:tcPr>
            <w:tcW w:w="1900" w:type="pct"/>
          </w:tcPr>
          <w:p/>
        </w:tc>
        <w:tc>
          <w:tcPr>
            <w:tcW w:w="600" w:type="pct"/>
          </w:tcPr>
          <w:p>
            <w:r>
              <w:t>6.4.0</w:t>
            </w:r>
          </w:p>
        </w:tc>
        <w:tc>
          <w:tcPr>
            <w:tcW w:w="500" w:type="pct"/>
          </w:tcPr>
          <w:p>
            <w:pPr>
              <w:rPr/>
            </w:pPr>
            <w:r>
              <w:rPr/>
              <w:fldChar w:fldCharType="begin"/>
            </w:r>
            <w:r>
              <w:rPr/>
              <w:instrText> PAGEREF  id33 \* MERGEFORMAT </w:instrText>
            </w:r>
            <w:r>
              <w:rPr/>
              <w:fldChar w:fldCharType="separate"/>
            </w:r>
            <w:r>
              <w:rPr>
                <w:noProof/>
              </w:rPr>
              <w:t>ctr-a, F9</w:t>
            </w:r>
            <w:r>
              <w:rPr>
                <w:noProof/>
              </w:rPr>
              <w:fldChar w:fldCharType="end"/>
            </w:r>
          </w:p>
        </w:tc>
      </w:tr>
      <w:tr>
        <w:tc>
          <w:tcPr>
            <w:tcW w:w="2000" w:type="pct"/>
          </w:tcPr>
          <w:p>
            <w:pPr>
              <w:rPr/>
            </w:pPr>
            <w:hyperlink w:anchor="id34" w:tooltip="Official visits" w:history="1">
              <w:r>
                <w:t>Official visits</w:t>
              </w:r>
            </w:hyperlink>
          </w:p>
        </w:tc>
        <w:tc>
          <w:tcPr>
            <w:tcW w:w="1900" w:type="pct"/>
          </w:tcPr>
          <w:p/>
        </w:tc>
        <w:tc>
          <w:tcPr>
            <w:tcW w:w="600" w:type="pct"/>
          </w:tcPr>
          <w:p>
            <w:r>
              <w:t>6.5.0</w:t>
            </w:r>
          </w:p>
        </w:tc>
        <w:tc>
          <w:tcPr>
            <w:tcW w:w="500" w:type="pct"/>
          </w:tcPr>
          <w:p>
            <w:pPr>
              <w:rPr/>
            </w:pPr>
            <w:r>
              <w:rPr/>
              <w:fldChar w:fldCharType="begin"/>
            </w:r>
            <w:r>
              <w:rPr/>
              <w:instrText> PAGEREF  id34 \* MERGEFORMAT </w:instrText>
            </w:r>
            <w:r>
              <w:rPr/>
              <w:fldChar w:fldCharType="separate"/>
            </w:r>
            <w:r>
              <w:rPr>
                <w:noProof/>
              </w:rPr>
              <w:t>ctr-a, F9</w:t>
            </w:r>
            <w:r>
              <w:rPr>
                <w:noProof/>
              </w:rPr>
              <w:fldChar w:fldCharType="end"/>
            </w:r>
          </w:p>
        </w:tc>
      </w:tr>
      <w:tr>
        <w:tc>
          <w:tcPr>
            <w:tcW w:w="2000" w:type="pct"/>
          </w:tcPr>
          <w:p>
            <w:pPr>
              <w:rPr/>
            </w:pPr>
            <w:hyperlink w:anchor="id35" w:tooltip="Protocol &amp; Procedures" w:history="1">
              <w:r>
                <w:t>Protocol &amp; Procedures</w:t>
              </w:r>
            </w:hyperlink>
          </w:p>
        </w:tc>
        <w:tc>
          <w:tcPr>
            <w:tcW w:w="1900" w:type="pct"/>
          </w:tcPr>
          <w:p/>
        </w:tc>
        <w:tc>
          <w:tcPr>
            <w:tcW w:w="600" w:type="pct"/>
          </w:tcPr>
          <w:p>
            <w:r>
              <w:t>6.6.0</w:t>
            </w:r>
          </w:p>
        </w:tc>
        <w:tc>
          <w:tcPr>
            <w:tcW w:w="500" w:type="pct"/>
          </w:tcPr>
          <w:p>
            <w:pPr>
              <w:rPr/>
            </w:pPr>
            <w:r>
              <w:rPr/>
              <w:fldChar w:fldCharType="begin"/>
            </w:r>
            <w:r>
              <w:rPr/>
              <w:instrText> PAGEREF  id35 \* MERGEFORMAT </w:instrText>
            </w:r>
            <w:r>
              <w:rPr/>
              <w:fldChar w:fldCharType="separate"/>
            </w:r>
            <w:r>
              <w:rPr>
                <w:noProof/>
              </w:rPr>
              <w:t>ctr-a, F9</w:t>
            </w:r>
            <w:r>
              <w:rPr>
                <w:noProof/>
              </w:rPr>
              <w:fldChar w:fldCharType="end"/>
            </w:r>
          </w:p>
        </w:tc>
      </w:tr>
      <w:tr>
        <w:tc>
          <w:tcPr>
            <w:tcW w:w="2000" w:type="pct"/>
          </w:tcPr>
          <w:p>
            <w:pPr>
              <w:rPr/>
            </w:pPr>
            <w:hyperlink w:anchor="id36" w:tooltip="PUBLIC SECTOR EMPLOYMENT" w:history="1">
              <w:r>
                <w:t>PUBLIC SECTOR EMPLOYMENT</w:t>
              </w:r>
            </w:hyperlink>
          </w:p>
        </w:tc>
        <w:tc>
          <w:tcPr>
            <w:tcW w:w="1900" w:type="pct"/>
          </w:tcPr>
          <w:p/>
        </w:tc>
        <w:tc>
          <w:tcPr>
            <w:tcW w:w="600" w:type="pct"/>
          </w:tcPr>
          <w:p>
            <w:r>
              <w:t>7.0.0</w:t>
            </w:r>
          </w:p>
        </w:tc>
        <w:tc>
          <w:tcPr>
            <w:tcW w:w="500" w:type="pct"/>
          </w:tcPr>
          <w:p>
            <w:pPr>
              <w:rPr/>
            </w:pPr>
            <w:r>
              <w:rPr/>
              <w:fldChar w:fldCharType="begin"/>
            </w:r>
            <w:r>
              <w:rPr/>
              <w:instrText> PAGEREF  id36 \* MERGEFORMAT </w:instrText>
            </w:r>
            <w:r>
              <w:rPr/>
              <w:fldChar w:fldCharType="separate"/>
            </w:r>
            <w:r>
              <w:rPr>
                <w:noProof/>
              </w:rPr>
              <w:t>ctr-a, F9</w:t>
            </w:r>
            <w:r>
              <w:rPr>
                <w:noProof/>
              </w:rPr>
              <w:fldChar w:fldCharType="end"/>
            </w:r>
          </w:p>
        </w:tc>
      </w:tr>
      <w:tr>
        <w:tc>
          <w:tcPr>
            <w:tcW w:w="2000" w:type="pct"/>
          </w:tcPr>
          <w:p>
            <w:pPr>
              <w:rPr/>
            </w:pPr>
            <w:hyperlink w:anchor="id37" w:tooltip="Advice" w:history="1">
              <w:r>
                <w:t>Advice</w:t>
              </w:r>
            </w:hyperlink>
          </w:p>
        </w:tc>
        <w:tc>
          <w:tcPr>
            <w:tcW w:w="1900" w:type="pct"/>
          </w:tcPr>
          <w:p/>
        </w:tc>
        <w:tc>
          <w:tcPr>
            <w:tcW w:w="600" w:type="pct"/>
          </w:tcPr>
          <w:p>
            <w:r>
              <w:t>7.1.0</w:t>
            </w:r>
          </w:p>
        </w:tc>
        <w:tc>
          <w:tcPr>
            <w:tcW w:w="500" w:type="pct"/>
          </w:tcPr>
          <w:p>
            <w:pPr>
              <w:rPr/>
            </w:pPr>
            <w:r>
              <w:rPr/>
              <w:fldChar w:fldCharType="begin"/>
            </w:r>
            <w:r>
              <w:rPr/>
              <w:instrText> PAGEREF  id37 \* MERGEFORMAT </w:instrText>
            </w:r>
            <w:r>
              <w:rPr/>
              <w:fldChar w:fldCharType="separate"/>
            </w:r>
            <w:r>
              <w:rPr>
                <w:noProof/>
              </w:rPr>
              <w:t>ctr-a, F9</w:t>
            </w:r>
            <w:r>
              <w:rPr>
                <w:noProof/>
              </w:rPr>
              <w:fldChar w:fldCharType="end"/>
            </w:r>
          </w:p>
        </w:tc>
      </w:tr>
      <w:tr>
        <w:tc>
          <w:tcPr>
            <w:tcW w:w="2000" w:type="pct"/>
          </w:tcPr>
          <w:p>
            <w:pPr>
              <w:rPr/>
            </w:pPr>
            <w:hyperlink w:anchor="id38" w:tooltip="Advocacy" w:history="1">
              <w:r>
                <w:t>Advocacy</w:t>
              </w:r>
            </w:hyperlink>
          </w:p>
        </w:tc>
        <w:tc>
          <w:tcPr>
            <w:tcW w:w="1900" w:type="pct"/>
          </w:tcPr>
          <w:p/>
        </w:tc>
        <w:tc>
          <w:tcPr>
            <w:tcW w:w="600" w:type="pct"/>
          </w:tcPr>
          <w:p>
            <w:r>
              <w:t>7.2.0</w:t>
            </w:r>
          </w:p>
        </w:tc>
        <w:tc>
          <w:tcPr>
            <w:tcW w:w="500" w:type="pct"/>
          </w:tcPr>
          <w:p>
            <w:pPr>
              <w:rPr/>
            </w:pPr>
            <w:r>
              <w:rPr/>
              <w:fldChar w:fldCharType="begin"/>
            </w:r>
            <w:r>
              <w:rPr/>
              <w:instrText> PAGEREF  id38 \* MERGEFORMAT </w:instrText>
            </w:r>
            <w:r>
              <w:rPr/>
              <w:fldChar w:fldCharType="separate"/>
            </w:r>
            <w:r>
              <w:rPr>
                <w:noProof/>
              </w:rPr>
              <w:t>ctr-a, F9</w:t>
            </w:r>
            <w:r>
              <w:rPr>
                <w:noProof/>
              </w:rPr>
              <w:fldChar w:fldCharType="end"/>
            </w:r>
          </w:p>
        </w:tc>
      </w:tr>
      <w:tr>
        <w:tc>
          <w:tcPr>
            <w:tcW w:w="2000" w:type="pct"/>
          </w:tcPr>
          <w:p>
            <w:pPr>
              <w:rPr/>
            </w:pPr>
            <w:hyperlink w:anchor="id39" w:tooltip="Awards and honours" w:history="1">
              <w:r>
                <w:t>Awards and honours</w:t>
              </w:r>
            </w:hyperlink>
          </w:p>
        </w:tc>
        <w:tc>
          <w:tcPr>
            <w:tcW w:w="1900" w:type="pct"/>
          </w:tcPr>
          <w:p/>
        </w:tc>
        <w:tc>
          <w:tcPr>
            <w:tcW w:w="600" w:type="pct"/>
          </w:tcPr>
          <w:p>
            <w:r>
              <w:t>7.3.0</w:t>
            </w:r>
          </w:p>
        </w:tc>
        <w:tc>
          <w:tcPr>
            <w:tcW w:w="500" w:type="pct"/>
          </w:tcPr>
          <w:p>
            <w:pPr>
              <w:rPr/>
            </w:pPr>
            <w:r>
              <w:rPr/>
              <w:fldChar w:fldCharType="begin"/>
            </w:r>
            <w:r>
              <w:rPr/>
              <w:instrText> PAGEREF  id39 \* MERGEFORMAT </w:instrText>
            </w:r>
            <w:r>
              <w:rPr/>
              <w:fldChar w:fldCharType="separate"/>
            </w:r>
            <w:r>
              <w:rPr>
                <w:noProof/>
              </w:rPr>
              <w:t>ctr-a, F9</w:t>
            </w:r>
            <w:r>
              <w:rPr>
                <w:noProof/>
              </w:rPr>
              <w:fldChar w:fldCharType="end"/>
            </w:r>
          </w:p>
        </w:tc>
      </w:tr>
      <w:tr>
        <w:tc>
          <w:tcPr>
            <w:tcW w:w="2000" w:type="pct"/>
          </w:tcPr>
          <w:p>
            <w:pPr>
              <w:rPr/>
            </w:pPr>
            <w:hyperlink w:anchor="id40" w:tooltip="Industrial awards and agreements" w:history="1">
              <w:r>
                <w:t>Industrial awards and agreements</w:t>
              </w:r>
            </w:hyperlink>
          </w:p>
        </w:tc>
        <w:tc>
          <w:tcPr>
            <w:tcW w:w="1900" w:type="pct"/>
          </w:tcPr>
          <w:p/>
        </w:tc>
        <w:tc>
          <w:tcPr>
            <w:tcW w:w="600" w:type="pct"/>
          </w:tcPr>
          <w:p>
            <w:r>
              <w:t>7.4.0</w:t>
            </w:r>
          </w:p>
        </w:tc>
        <w:tc>
          <w:tcPr>
            <w:tcW w:w="500" w:type="pct"/>
          </w:tcPr>
          <w:p>
            <w:pPr>
              <w:rPr/>
            </w:pPr>
            <w:r>
              <w:rPr/>
              <w:fldChar w:fldCharType="begin"/>
            </w:r>
            <w:r>
              <w:rPr/>
              <w:instrText> PAGEREF  id40 \* MERGEFORMAT </w:instrText>
            </w:r>
            <w:r>
              <w:rPr/>
              <w:fldChar w:fldCharType="separate"/>
            </w:r>
            <w:r>
              <w:rPr>
                <w:noProof/>
              </w:rPr>
              <w:t>ctr-a, F9</w:t>
            </w:r>
            <w:r>
              <w:rPr>
                <w:noProof/>
              </w:rPr>
              <w:fldChar w:fldCharType="end"/>
            </w:r>
          </w:p>
        </w:tc>
      </w:tr>
      <w:tr>
        <w:tc>
          <w:tcPr>
            <w:tcW w:w="2000" w:type="pct"/>
          </w:tcPr>
          <w:p>
            <w:pPr>
              <w:rPr/>
            </w:pPr>
            <w:hyperlink w:anchor="id41" w:tooltip="Learning And Development (Training)" w:history="1">
              <w:r>
                <w:t>Learning And Development (Training)</w:t>
              </w:r>
            </w:hyperlink>
          </w:p>
        </w:tc>
        <w:tc>
          <w:tcPr>
            <w:tcW w:w="1900" w:type="pct"/>
          </w:tcPr>
          <w:p/>
        </w:tc>
        <w:tc>
          <w:tcPr>
            <w:tcW w:w="600" w:type="pct"/>
          </w:tcPr>
          <w:p>
            <w:r>
              <w:t>7.5.0</w:t>
            </w:r>
          </w:p>
        </w:tc>
        <w:tc>
          <w:tcPr>
            <w:tcW w:w="500" w:type="pct"/>
          </w:tcPr>
          <w:p>
            <w:pPr>
              <w:rPr/>
            </w:pPr>
            <w:r>
              <w:rPr/>
              <w:fldChar w:fldCharType="begin"/>
            </w:r>
            <w:r>
              <w:rPr/>
              <w:instrText> PAGEREF  id41 \* MERGEFORMAT </w:instrText>
            </w:r>
            <w:r>
              <w:rPr/>
              <w:fldChar w:fldCharType="separate"/>
            </w:r>
            <w:r>
              <w:rPr>
                <w:noProof/>
              </w:rPr>
              <w:t>ctr-a, F9</w:t>
            </w:r>
            <w:r>
              <w:rPr>
                <w:noProof/>
              </w:rPr>
              <w:fldChar w:fldCharType="end"/>
            </w:r>
          </w:p>
        </w:tc>
      </w:tr>
      <w:tr>
        <w:tc>
          <w:tcPr>
            <w:tcW w:w="2000" w:type="pct"/>
          </w:tcPr>
          <w:p>
            <w:pPr>
              <w:rPr/>
            </w:pPr>
            <w:hyperlink w:anchor="id42" w:tooltip="Policy" w:history="1">
              <w:r>
                <w:t>Policy</w:t>
              </w:r>
            </w:hyperlink>
          </w:p>
        </w:tc>
        <w:tc>
          <w:tcPr>
            <w:tcW w:w="1900" w:type="pct"/>
          </w:tcPr>
          <w:p/>
        </w:tc>
        <w:tc>
          <w:tcPr>
            <w:tcW w:w="600" w:type="pct"/>
          </w:tcPr>
          <w:p>
            <w:r>
              <w:t>7.6.0</w:t>
            </w:r>
          </w:p>
        </w:tc>
        <w:tc>
          <w:tcPr>
            <w:tcW w:w="500" w:type="pct"/>
          </w:tcPr>
          <w:p>
            <w:pPr>
              <w:rPr/>
            </w:pPr>
            <w:r>
              <w:rPr/>
              <w:fldChar w:fldCharType="begin"/>
            </w:r>
            <w:r>
              <w:rPr/>
              <w:instrText> PAGEREF  id42 \* MERGEFORMAT </w:instrText>
            </w:r>
            <w:r>
              <w:rPr/>
              <w:fldChar w:fldCharType="separate"/>
            </w:r>
            <w:r>
              <w:rPr>
                <w:noProof/>
              </w:rPr>
              <w:t>ctr-a, F9</w:t>
            </w:r>
            <w:r>
              <w:rPr>
                <w:noProof/>
              </w:rPr>
              <w:fldChar w:fldCharType="end"/>
            </w:r>
          </w:p>
        </w:tc>
      </w:tr>
      <w:tr>
        <w:tc>
          <w:tcPr>
            <w:tcW w:w="2000" w:type="pct"/>
          </w:tcPr>
          <w:p>
            <w:pPr>
              <w:rPr/>
            </w:pPr>
            <w:hyperlink w:anchor="id43" w:tooltip="Workforce planning &amp; management" w:history="1">
              <w:r>
                <w:t>Workforce planning &amp; management</w:t>
              </w:r>
            </w:hyperlink>
          </w:p>
        </w:tc>
        <w:tc>
          <w:tcPr>
            <w:tcW w:w="1900" w:type="pct"/>
          </w:tcPr>
          <w:p/>
        </w:tc>
        <w:tc>
          <w:tcPr>
            <w:tcW w:w="600" w:type="pct"/>
          </w:tcPr>
          <w:p>
            <w:r>
              <w:t>7.7.0</w:t>
            </w:r>
          </w:p>
        </w:tc>
        <w:tc>
          <w:tcPr>
            <w:tcW w:w="500" w:type="pct"/>
          </w:tcPr>
          <w:p>
            <w:pPr>
              <w:rPr/>
            </w:pPr>
            <w:r>
              <w:rPr/>
              <w:fldChar w:fldCharType="begin"/>
            </w:r>
            <w:r>
              <w:rPr/>
              <w:instrText> PAGEREF  id43 \* MERGEFORMAT </w:instrText>
            </w:r>
            <w:r>
              <w:rPr/>
              <w:fldChar w:fldCharType="separate"/>
            </w:r>
            <w:r>
              <w:rPr>
                <w:noProof/>
              </w:rPr>
              <w:t>ctr-a, F9</w:t>
            </w:r>
            <w:r>
              <w:rPr>
                <w:noProof/>
              </w:rPr>
              <w:fldChar w:fldCharType="end"/>
            </w:r>
          </w:p>
        </w:tc>
      </w:tr>
      <w:tr>
        <w:tc>
          <w:tcPr>
            <w:tcW w:w="2000" w:type="pct"/>
          </w:tcPr>
          <w:p>
            <w:pPr>
              <w:rPr/>
            </w:pPr>
            <w:hyperlink w:anchor="id44" w:tooltip="PUBLIC SECTOR PERFORMANCE REVIEW" w:history="1">
              <w:r>
                <w:t>PUBLIC SECTOR PERFORMANCE REVIEW</w:t>
              </w:r>
            </w:hyperlink>
          </w:p>
        </w:tc>
        <w:tc>
          <w:tcPr>
            <w:tcW w:w="1900" w:type="pct"/>
          </w:tcPr>
          <w:p/>
        </w:tc>
        <w:tc>
          <w:tcPr>
            <w:tcW w:w="600" w:type="pct"/>
          </w:tcPr>
          <w:p>
            <w:r>
              <w:t>8.0.0</w:t>
            </w:r>
          </w:p>
        </w:tc>
        <w:tc>
          <w:tcPr>
            <w:tcW w:w="500" w:type="pct"/>
          </w:tcPr>
          <w:p>
            <w:pPr>
              <w:rPr/>
            </w:pPr>
            <w:r>
              <w:rPr/>
              <w:fldChar w:fldCharType="begin"/>
            </w:r>
            <w:r>
              <w:rPr/>
              <w:instrText> PAGEREF  id44 \* MERGEFORMAT </w:instrText>
            </w:r>
            <w:r>
              <w:rPr/>
              <w:fldChar w:fldCharType="separate"/>
            </w:r>
            <w:r>
              <w:rPr>
                <w:noProof/>
              </w:rPr>
              <w:t>ctr-a, F9</w:t>
            </w:r>
            <w:r>
              <w:rPr>
                <w:noProof/>
              </w:rPr>
              <w:fldChar w:fldCharType="end"/>
            </w:r>
          </w:p>
        </w:tc>
      </w:tr>
      <w:tr>
        <w:tc>
          <w:tcPr>
            <w:tcW w:w="2000" w:type="pct"/>
          </w:tcPr>
          <w:p>
            <w:pPr>
              <w:rPr/>
            </w:pPr>
            <w:hyperlink w:anchor="id45" w:tooltip="Program or agency performance review and improvement" w:history="1">
              <w:r>
                <w:t>Program or agency performance review and improvement</w:t>
              </w:r>
            </w:hyperlink>
          </w:p>
        </w:tc>
        <w:tc>
          <w:tcPr>
            <w:tcW w:w="1900" w:type="pct"/>
          </w:tcPr>
          <w:p/>
        </w:tc>
        <w:tc>
          <w:tcPr>
            <w:tcW w:w="600" w:type="pct"/>
          </w:tcPr>
          <w:p>
            <w:r>
              <w:t>8.1.0</w:t>
            </w:r>
          </w:p>
        </w:tc>
        <w:tc>
          <w:tcPr>
            <w:tcW w:w="500" w:type="pct"/>
          </w:tcPr>
          <w:p>
            <w:pPr>
              <w:rPr/>
            </w:pPr>
            <w:r>
              <w:rPr/>
              <w:fldChar w:fldCharType="begin"/>
            </w:r>
            <w:r>
              <w:rPr/>
              <w:instrText> PAGEREF  id45 \* MERGEFORMAT </w:instrText>
            </w:r>
            <w:r>
              <w:rPr/>
              <w:fldChar w:fldCharType="separate"/>
            </w:r>
            <w:r>
              <w:rPr>
                <w:noProof/>
              </w:rPr>
              <w:t>ctr-a, F9</w:t>
            </w:r>
            <w:r>
              <w:rPr>
                <w:noProof/>
              </w:rPr>
              <w:fldChar w:fldCharType="end"/>
            </w:r>
          </w:p>
        </w:tc>
      </w:tr>
      <w:tr>
        <w:tc>
          <w:tcPr>
            <w:tcW w:w="2000" w:type="pct"/>
          </w:tcPr>
          <w:p>
            <w:pPr>
              <w:rPr/>
            </w:pPr>
            <w:hyperlink w:anchor="id46" w:tooltip="Regulation review and reform" w:history="1">
              <w:r>
                <w:t>Regulation review and reform</w:t>
              </w:r>
            </w:hyperlink>
          </w:p>
        </w:tc>
        <w:tc>
          <w:tcPr>
            <w:tcW w:w="1900" w:type="pct"/>
          </w:tcPr>
          <w:p/>
        </w:tc>
        <w:tc>
          <w:tcPr>
            <w:tcW w:w="600" w:type="pct"/>
          </w:tcPr>
          <w:p>
            <w:r>
              <w:t>8.2.0</w:t>
            </w:r>
          </w:p>
        </w:tc>
        <w:tc>
          <w:tcPr>
            <w:tcW w:w="500" w:type="pct"/>
          </w:tcPr>
          <w:p>
            <w:pPr>
              <w:rPr/>
            </w:pPr>
            <w:r>
              <w:rPr/>
              <w:fldChar w:fldCharType="begin"/>
            </w:r>
            <w:r>
              <w:rPr/>
              <w:instrText> PAGEREF  id46 \* MERGEFORMAT </w:instrText>
            </w:r>
            <w:r>
              <w:rPr/>
              <w:fldChar w:fldCharType="separate"/>
            </w:r>
            <w:r>
              <w:rPr>
                <w:noProof/>
              </w:rPr>
              <w:t>ctr-a, F9</w:t>
            </w:r>
            <w:r>
              <w:rPr>
                <w:noProof/>
              </w:rPr>
              <w:fldChar w:fldCharType="end"/>
            </w:r>
          </w:p>
        </w:tc>
      </w:tr>
      <w:tr>
        <w:tc>
          <w:tcPr>
            <w:tcW w:w="2000" w:type="pct"/>
          </w:tcPr>
          <w:p>
            <w:pPr>
              <w:rPr/>
            </w:pPr>
            <w:hyperlink w:anchor="id47" w:tooltip="STATE INFRASTRUCTURE PROJECTS" w:history="1">
              <w:r>
                <w:t>STATE INFRASTRUCTURE PROJECTS</w:t>
              </w:r>
            </w:hyperlink>
          </w:p>
        </w:tc>
        <w:tc>
          <w:tcPr>
            <w:tcW w:w="1900" w:type="pct"/>
          </w:tcPr>
          <w:p/>
        </w:tc>
        <w:tc>
          <w:tcPr>
            <w:tcW w:w="600" w:type="pct"/>
          </w:tcPr>
          <w:p>
            <w:r>
              <w:t>9.0.0</w:t>
            </w:r>
          </w:p>
        </w:tc>
        <w:tc>
          <w:tcPr>
            <w:tcW w:w="500" w:type="pct"/>
          </w:tcPr>
          <w:p>
            <w:pPr>
              <w:rPr/>
            </w:pPr>
            <w:r>
              <w:rPr/>
              <w:fldChar w:fldCharType="begin"/>
            </w:r>
            <w:r>
              <w:rPr/>
              <w:instrText> PAGEREF  id47 \* MERGEFORMAT </w:instrText>
            </w:r>
            <w:r>
              <w:rPr/>
              <w:fldChar w:fldCharType="separate"/>
            </w:r>
            <w:r>
              <w:rPr>
                <w:noProof/>
              </w:rPr>
              <w:t>ctr-a, F9</w:t>
            </w:r>
            <w:r>
              <w:rPr>
                <w:noProof/>
              </w:rPr>
              <w:fldChar w:fldCharType="end"/>
            </w:r>
          </w:p>
        </w:tc>
      </w:tr>
      <w:tr>
        <w:tc>
          <w:tcPr>
            <w:tcW w:w="2000" w:type="pct"/>
          </w:tcPr>
          <w:p>
            <w:pPr>
              <w:rPr/>
            </w:pPr>
            <w:hyperlink w:anchor="id48" w:tooltip="STRATEGIC POLICY AND ADVICE" w:history="1">
              <w:r>
                <w:t>STRATEGIC POLICY AND ADVICE</w:t>
              </w:r>
            </w:hyperlink>
          </w:p>
        </w:tc>
        <w:tc>
          <w:tcPr>
            <w:tcW w:w="1900" w:type="pct"/>
          </w:tcPr>
          <w:p/>
        </w:tc>
        <w:tc>
          <w:tcPr>
            <w:tcW w:w="600" w:type="pct"/>
          </w:tcPr>
          <w:p>
            <w:r>
              <w:t>10.0.0</w:t>
            </w:r>
          </w:p>
        </w:tc>
        <w:tc>
          <w:tcPr>
            <w:tcW w:w="500" w:type="pct"/>
          </w:tcPr>
          <w:p>
            <w:pPr>
              <w:rPr/>
            </w:pPr>
            <w:r>
              <w:rPr/>
              <w:fldChar w:fldCharType="begin"/>
            </w:r>
            <w:r>
              <w:rPr/>
              <w:instrText> PAGEREF  id48 \* MERGEFORMAT </w:instrText>
            </w:r>
            <w:r>
              <w:rPr/>
              <w:fldChar w:fldCharType="separate"/>
            </w:r>
            <w:r>
              <w:rPr>
                <w:noProof/>
              </w:rPr>
              <w:t>ctr-a, F9</w:t>
            </w:r>
            <w:r>
              <w:rPr>
                <w:noProof/>
              </w:rPr>
              <w:fldChar w:fldCharType="end"/>
            </w:r>
          </w:p>
        </w:tc>
      </w:tr>
      <w:tr>
        <w:tc>
          <w:tcPr>
            <w:tcW w:w="2000" w:type="pct"/>
          </w:tcPr>
          <w:p>
            <w:pPr>
              <w:rPr/>
            </w:pPr>
            <w:hyperlink w:anchor="id49" w:tooltip="Legal Policy" w:history="1">
              <w:r>
                <w:t>Legal Policy</w:t>
              </w:r>
            </w:hyperlink>
          </w:p>
        </w:tc>
        <w:tc>
          <w:tcPr>
            <w:tcW w:w="1900" w:type="pct"/>
          </w:tcPr>
          <w:p/>
        </w:tc>
        <w:tc>
          <w:tcPr>
            <w:tcW w:w="600" w:type="pct"/>
          </w:tcPr>
          <w:p>
            <w:r>
              <w:t>10.1.0</w:t>
            </w:r>
          </w:p>
        </w:tc>
        <w:tc>
          <w:tcPr>
            <w:tcW w:w="500" w:type="pct"/>
          </w:tcPr>
          <w:p>
            <w:pPr>
              <w:rPr/>
            </w:pPr>
            <w:r>
              <w:rPr/>
              <w:fldChar w:fldCharType="begin"/>
            </w:r>
            <w:r>
              <w:rPr/>
              <w:instrText> PAGEREF  id49 \* MERGEFORMAT </w:instrText>
            </w:r>
            <w:r>
              <w:rPr/>
              <w:fldChar w:fldCharType="separate"/>
            </w:r>
            <w:r>
              <w:rPr>
                <w:noProof/>
              </w:rPr>
              <w:t>ctr-a, F9</w:t>
            </w:r>
            <w:r>
              <w:rPr>
                <w:noProof/>
              </w:rPr>
              <w:fldChar w:fldCharType="end"/>
            </w:r>
          </w:p>
        </w:tc>
      </w:tr>
      <w:tr>
        <w:tc>
          <w:tcPr>
            <w:tcW w:w="2000" w:type="pct"/>
          </w:tcPr>
          <w:p>
            <w:pPr>
              <w:rPr/>
            </w:pPr>
            <w:hyperlink w:anchor="id50" w:tooltip="Legislation" w:history="1">
              <w:r>
                <w:t>Legislation</w:t>
              </w:r>
            </w:hyperlink>
          </w:p>
        </w:tc>
        <w:tc>
          <w:tcPr>
            <w:tcW w:w="1900" w:type="pct"/>
          </w:tcPr>
          <w:p/>
        </w:tc>
        <w:tc>
          <w:tcPr>
            <w:tcW w:w="600" w:type="pct"/>
          </w:tcPr>
          <w:p>
            <w:r>
              <w:t>10.2.0</w:t>
            </w:r>
          </w:p>
        </w:tc>
        <w:tc>
          <w:tcPr>
            <w:tcW w:w="500" w:type="pct"/>
          </w:tcPr>
          <w:p>
            <w:pPr>
              <w:rPr/>
            </w:pPr>
            <w:r>
              <w:rPr/>
              <w:fldChar w:fldCharType="begin"/>
            </w:r>
            <w:r>
              <w:rPr/>
              <w:instrText> PAGEREF  id50 \* MERGEFORMAT </w:instrText>
            </w:r>
            <w:r>
              <w:rPr/>
              <w:fldChar w:fldCharType="separate"/>
            </w:r>
            <w:r>
              <w:rPr>
                <w:noProof/>
              </w:rPr>
              <w:t>ctr-a, F9</w:t>
            </w:r>
            <w:r>
              <w:rPr>
                <w:noProof/>
              </w:rPr>
              <w:fldChar w:fldCharType="end"/>
            </w:r>
          </w:p>
        </w:tc>
      </w:tr>
      <w:tr>
        <w:tc>
          <w:tcPr>
            <w:tcW w:w="2000" w:type="pct"/>
          </w:tcPr>
          <w:p>
            <w:pPr>
              <w:rPr/>
            </w:pPr>
            <w:hyperlink w:anchor="id51" w:tooltip="Liaison" w:history="1">
              <w:r>
                <w:t>Liaison</w:t>
              </w:r>
            </w:hyperlink>
          </w:p>
        </w:tc>
        <w:tc>
          <w:tcPr>
            <w:tcW w:w="1900" w:type="pct"/>
          </w:tcPr>
          <w:p/>
        </w:tc>
        <w:tc>
          <w:tcPr>
            <w:tcW w:w="600" w:type="pct"/>
          </w:tcPr>
          <w:p>
            <w:r>
              <w:t>10.3.0</w:t>
            </w:r>
          </w:p>
        </w:tc>
        <w:tc>
          <w:tcPr>
            <w:tcW w:w="500" w:type="pct"/>
          </w:tcPr>
          <w:p>
            <w:pPr>
              <w:rPr/>
            </w:pPr>
            <w:r>
              <w:rPr/>
              <w:fldChar w:fldCharType="begin"/>
            </w:r>
            <w:r>
              <w:rPr/>
              <w:instrText> PAGEREF  id51 \* MERGEFORMAT </w:instrText>
            </w:r>
            <w:r>
              <w:rPr/>
              <w:fldChar w:fldCharType="separate"/>
            </w:r>
            <w:r>
              <w:rPr>
                <w:noProof/>
              </w:rPr>
              <w:t>ctr-a, F9</w:t>
            </w:r>
            <w:r>
              <w:rPr>
                <w:noProof/>
              </w:rPr>
              <w:fldChar w:fldCharType="end"/>
            </w:r>
          </w:p>
        </w:tc>
      </w:tr>
      <w:tr>
        <w:tc>
          <w:tcPr>
            <w:tcW w:w="2000" w:type="pct"/>
          </w:tcPr>
          <w:p>
            <w:pPr>
              <w:rPr/>
            </w:pPr>
            <w:hyperlink w:anchor="id52" w:tooltip="Policy" w:history="1">
              <w:r>
                <w:t>Policy</w:t>
              </w:r>
            </w:hyperlink>
          </w:p>
        </w:tc>
        <w:tc>
          <w:tcPr>
            <w:tcW w:w="1900" w:type="pct"/>
          </w:tcPr>
          <w:p/>
        </w:tc>
        <w:tc>
          <w:tcPr>
            <w:tcW w:w="600" w:type="pct"/>
          </w:tcPr>
          <w:p>
            <w:r>
              <w:t>10.4.0</w:t>
            </w:r>
          </w:p>
        </w:tc>
        <w:tc>
          <w:tcPr>
            <w:tcW w:w="500" w:type="pct"/>
          </w:tcPr>
          <w:p>
            <w:pPr>
              <w:rPr/>
            </w:pPr>
            <w:r>
              <w:rPr/>
              <w:fldChar w:fldCharType="begin"/>
            </w:r>
            <w:r>
              <w:rPr/>
              <w:instrText> PAGEREF  id52 \* MERGEFORMAT </w:instrText>
            </w:r>
            <w:r>
              <w:rPr/>
              <w:fldChar w:fldCharType="separate"/>
            </w:r>
            <w:r>
              <w:rPr>
                <w:noProof/>
              </w:rPr>
              <w:t>ctr-a, F9</w:t>
            </w:r>
            <w:r>
              <w:rPr>
                <w:noProof/>
              </w:rPr>
              <w:fldChar w:fldCharType="end"/>
            </w:r>
          </w:p>
        </w:tc>
      </w:tr>
      <w:tr>
        <w:tc>
          <w:tcPr>
            <w:tcW w:w="2000" w:type="pct"/>
          </w:tcPr>
          <w:p>
            <w:pPr>
              <w:rPr/>
            </w:pPr>
            <w:hyperlink w:anchor="id53" w:tooltip="Reporting" w:history="1">
              <w:r>
                <w:t>Reporting</w:t>
              </w:r>
            </w:hyperlink>
          </w:p>
        </w:tc>
        <w:tc>
          <w:tcPr>
            <w:tcW w:w="1900" w:type="pct"/>
          </w:tcPr>
          <w:p/>
        </w:tc>
        <w:tc>
          <w:tcPr>
            <w:tcW w:w="600" w:type="pct"/>
          </w:tcPr>
          <w:p>
            <w:r>
              <w:t>10.5.0</w:t>
            </w:r>
          </w:p>
        </w:tc>
        <w:tc>
          <w:tcPr>
            <w:tcW w:w="500" w:type="pct"/>
          </w:tcPr>
          <w:p>
            <w:pPr>
              <w:rPr/>
            </w:pPr>
            <w:r>
              <w:rPr/>
              <w:fldChar w:fldCharType="begin"/>
            </w:r>
            <w:r>
              <w:rPr/>
              <w:instrText> PAGEREF  id53 \* MERGEFORMAT </w:instrText>
            </w:r>
            <w:r>
              <w:rPr/>
              <w:fldChar w:fldCharType="separate"/>
            </w:r>
            <w:r>
              <w:rPr>
                <w:noProof/>
              </w:rPr>
              <w:t>ctr-a, F9</w:t>
            </w:r>
            <w:r>
              <w:rPr>
                <w:noProof/>
              </w:rPr>
              <w:fldChar w:fldCharType="end"/>
            </w:r>
          </w:p>
        </w:tc>
      </w:tr>
      <w:tr>
        <w:tc>
          <w:tcPr>
            <w:tcW w:w="2000" w:type="pct"/>
          </w:tcPr>
          <w:p>
            <w:pPr>
              <w:rPr/>
            </w:pPr>
            <w:hyperlink w:anchor="id54" w:tooltip="State plan development and reporting" w:history="1">
              <w:r>
                <w:t>State plan development and reporting</w:t>
              </w:r>
            </w:hyperlink>
          </w:p>
        </w:tc>
        <w:tc>
          <w:tcPr>
            <w:tcW w:w="1900" w:type="pct"/>
          </w:tcPr>
          <w:p/>
        </w:tc>
        <w:tc>
          <w:tcPr>
            <w:tcW w:w="600" w:type="pct"/>
          </w:tcPr>
          <w:p>
            <w:r>
              <w:t>10.6.0</w:t>
            </w:r>
          </w:p>
        </w:tc>
        <w:tc>
          <w:tcPr>
            <w:tcW w:w="500" w:type="pct"/>
          </w:tcPr>
          <w:p>
            <w:pPr>
              <w:rPr/>
            </w:pPr>
            <w:r>
              <w:rPr/>
              <w:fldChar w:fldCharType="begin"/>
            </w:r>
            <w:r>
              <w:rPr/>
              <w:instrText> PAGEREF  id54 \* MERGEFORMAT </w:instrText>
            </w:r>
            <w:r>
              <w:rPr/>
              <w:fldChar w:fldCharType="separate"/>
            </w:r>
            <w:r>
              <w:rPr>
                <w:noProof/>
              </w:rPr>
              <w:t>ctr-a, F9</w:t>
            </w:r>
            <w:r>
              <w:rPr>
                <w:noProof/>
              </w:rPr>
              <w:fldChar w:fldCharType="end"/>
            </w:r>
          </w:p>
        </w:tc>
      </w:tr>
      <w:tr>
        <w:tc>
          <w:tcPr>
            <w:tcW w:w="2000" w:type="pct"/>
          </w:tcPr>
          <w:p>
            <w:pPr>
              <w:rPr/>
            </w:pPr>
            <w:hyperlink w:anchor="id55" w:tooltip="Submissions" w:history="1">
              <w:r>
                <w:t>Submissions</w:t>
              </w:r>
            </w:hyperlink>
          </w:p>
        </w:tc>
        <w:tc>
          <w:tcPr>
            <w:tcW w:w="1900" w:type="pct"/>
          </w:tcPr>
          <w:p/>
        </w:tc>
        <w:tc>
          <w:tcPr>
            <w:tcW w:w="600" w:type="pct"/>
          </w:tcPr>
          <w:p>
            <w:r>
              <w:t>10.7.0</w:t>
            </w:r>
          </w:p>
        </w:tc>
        <w:tc>
          <w:tcPr>
            <w:tcW w:w="500" w:type="pct"/>
          </w:tcPr>
          <w:p>
            <w:pPr>
              <w:rPr/>
            </w:pPr>
            <w:r>
              <w:rPr/>
              <w:fldChar w:fldCharType="begin"/>
            </w:r>
            <w:r>
              <w:rPr/>
              <w:instrText> PAGEREF  id55 \* MERGEFORMAT </w:instrText>
            </w:r>
            <w:r>
              <w:rPr/>
              <w:fldChar w:fldCharType="separate"/>
            </w:r>
            <w:r>
              <w:rPr>
                <w:noProof/>
              </w:rPr>
              <w:t>ctr-a, F9</w:t>
            </w:r>
            <w:r>
              <w:rPr>
                <w:noProof/>
              </w:rPr>
              <w:fldChar w:fldCharType="end"/>
            </w:r>
          </w:p>
        </w:tc>
      </w:tr>
    </w:tbl>
    <w:p>
      <w:pPr>
        <w:rPr>
          <w:b/>
        </w:rPr>
        <w:sectPr>
          <w:headerReference w:type="default" r:id="rId16"/>
          <w:footerReference w:type="default" r:id="rId17"/>
          <w:headerReference w:type="first" r:id="rId18"/>
          <w:footerReference w:type="first" r:id="rId19"/>
          <w:pgSz w:w="11907" w:h="16840" w:code="9"/>
          <w:pgMar w:top="1418" w:right="1418" w:bottom="1418" w:left="1418" w:header="567" w:footer="567" w:gutter="0"/>
          <w:paperSrc w:first="7" w:other="7"/>
          <w:cols w:space="720"/>
          <w:titlePg/>
        </w:sectPr>
      </w:pPr>
    </w:p>
    <w:p>
      <w:pPr>
        <w:pStyle w:val="Heading1"/>
        <w:pageBreakBefore/>
        <w:spacing w:after="0"/>
      </w:pPr>
      <w:bookmarkStart w:id="1" w:name="id1"/>
      <w:r>
        <w:t xml:space="preserve">1.0.0 </w:t>
      </w:r>
      <w:r>
        <w:t>ABORIGINAL TRUST FUND REPAYMENT SCHEME (AFTRS)</w:t>
      </w:r>
      <w:bookmarkEnd w:id="1"/>
    </w:p>
    <w:p>
      <w:r>
        <w:t xml:space="preserve">The administration of the Aboriginal Trust Fund Repayment Scheme (ATFRS) established to repay to Aboriginal people and their descendants money that was put into trust funds and never repaid.</w:t>
      </w:r>
    </w:p>
    <w:p>
      <w:pPr>
        <w:pStyle w:val="Heading2"/>
        <w:spacing w:after="0"/>
      </w:pPr>
      <w:bookmarkStart w:id="1" w:name="id2"/>
      <w:r>
        <w:t xml:space="preserve">1.1.0 </w:t>
      </w:r>
      <w:r>
        <w:t>Claims</w:t>
      </w:r>
      <w:bookmarkEnd w:id="1"/>
    </w:p>
    <w:p>
      <w:r>
        <w:t xml:space="preserve">The receipt and assessment of claims.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1.1.1</w:t>
            </w:r>
          </w:p>
          <w:p>
            <w:pPr>
              <w:spacing w:after="0"/>
            </w:pPr>
            <w:r>
              <w:rPr>
                <w:rStyle w:val="HiddenChar"/>
              </w:rPr>
              <w:t>ABORIGINAL TRUST FUND REPAYMENT SCHEME (AFTRS) - Claims</w:t>
            </w:r>
          </w:p>
        </w:tc>
        <w:tc>
          <w:tcPr>
            <w:tcW w:w="5812" w:type="dxa"/>
          </w:tcPr>
          <w:p>
            <w:r>
              <w:t xml:space="preserve">Records relating to applications made under the Aboriginal Trust Fund Repayment Scheme. Records include:</w:t>
            </w:r>
          </w:p>
          <w:p>
            <w:pPr>
              <w:pStyle w:val="ListParagraph"/>
              <w:keepNext w:val="0"/>
              <w:widowControl w:val="0"/>
              <w:numPr>
                <w:ilvl w:val="0"/>
                <w:numId w:val="1"/>
              </w:numPr>
            </w:pPr>
            <w:r>
              <w:t xml:space="preserve">the register of the applications</w:t>
            </w:r>
          </w:p>
          <w:p>
            <w:pPr>
              <w:pStyle w:val="ListParagraph"/>
              <w:keepNext w:val="0"/>
              <w:widowControl w:val="0"/>
              <w:numPr>
                <w:ilvl w:val="0"/>
                <w:numId w:val="1"/>
              </w:numPr>
            </w:pPr>
            <w:r>
              <w:t xml:space="preserve">applications and supporting evidence </w:t>
            </w:r>
          </w:p>
          <w:p>
            <w:pPr>
              <w:pStyle w:val="ListParagraph"/>
              <w:keepNext w:val="0"/>
              <w:widowControl w:val="0"/>
              <w:numPr>
                <w:ilvl w:val="0"/>
                <w:numId w:val="1"/>
              </w:numPr>
            </w:pPr>
            <w:r>
              <w:t xml:space="preserve">correspondence with applicants</w:t>
            </w:r>
          </w:p>
          <w:p>
            <w:pPr>
              <w:pStyle w:val="ListParagraph"/>
              <w:keepNext w:val="0"/>
              <w:widowControl w:val="0"/>
              <w:numPr>
                <w:ilvl w:val="0"/>
                <w:numId w:val="1"/>
              </w:numPr>
            </w:pPr>
            <w:r>
              <w:t xml:space="preserve">research into, assessments of and recommendations on applications (this includes recommendations of the AFTRS unit and of the AFTRS Panel or the DG to the Minister in respect of the claim)</w:t>
            </w:r>
          </w:p>
          <w:p>
            <w:pPr>
              <w:pStyle w:val="ListParagraph"/>
              <w:keepNext w:val="0"/>
              <w:widowControl w:val="0"/>
              <w:numPr>
                <w:ilvl w:val="0"/>
                <w:numId w:val="1"/>
              </w:numPr>
            </w:pPr>
            <w:r>
              <w:t xml:space="preserve">final determinations and advice to applicants regarding recommendations/decisions</w:t>
            </w:r>
          </w:p>
          <w:p>
            <w:pPr>
              <w:pStyle w:val="ListParagraph"/>
              <w:keepNext w:val="0"/>
              <w:widowControl w:val="0"/>
              <w:numPr>
                <w:ilvl w:val="0"/>
                <w:numId w:val="1"/>
              </w:numPr>
            </w:pPr>
            <w:r>
              <w:t xml:space="preserve">appeals by applicants and their determination.</w:t>
            </w:r>
          </w:p>
        </w:tc>
        <w:tc>
          <w:tcPr>
            <w:tcW w:w="2268" w:type="dxa"/>
          </w:tcPr>
          <w:p>
            <w:r>
              <w:t>Required as State archives</w:t>
            </w:r>
          </w:p>
        </w:tc>
      </w:tr>
      <w:tr>
        <w:trPr>
          <w:jc w:val="center"/>
        </w:trPr>
        <w:tc>
          <w:tcPr>
            <w:tcW w:w="992" w:type="dxa"/>
          </w:tcPr>
          <w:p>
            <w:pPr>
              <w:spacing w:after="0"/>
            </w:pPr>
            <w:r>
              <w:t>1.1.2</w:t>
            </w:r>
          </w:p>
          <w:p>
            <w:pPr>
              <w:spacing w:after="0"/>
            </w:pPr>
            <w:r>
              <w:rPr>
                <w:rStyle w:val="HiddenChar"/>
              </w:rPr>
              <w:t>ABORIGINAL TRUST FUND REPAYMENT SCHEME (AFTRS) - Claims</w:t>
            </w:r>
          </w:p>
        </w:tc>
        <w:tc>
          <w:tcPr>
            <w:tcW w:w="5812" w:type="dxa"/>
          </w:tcPr>
          <w:p>
            <w:r>
              <w:t xml:space="preserve">Records relating to the development of guidelines governing the making and payment of claims. Records include background research, draft versions containing significant changes/alterations or formally circulated for comment, reports analysing issues and the outcomes of consultation with stakeholders, etc.</w:t>
            </w:r>
          </w:p>
        </w:tc>
        <w:tc>
          <w:tcPr>
            <w:tcW w:w="2268" w:type="dxa"/>
          </w:tcPr>
          <w:p>
            <w:r>
              <w:t>Required as State archives</w:t>
            </w:r>
          </w:p>
        </w:tc>
      </w:tr>
      <w:tr>
        <w:trPr>
          <w:jc w:val="center"/>
        </w:trPr>
        <w:tc>
          <w:tcPr>
            <w:tcW w:w="992" w:type="dxa"/>
          </w:tcPr>
          <w:p>
            <w:pPr>
              <w:spacing w:after="0"/>
            </w:pPr>
            <w:r>
              <w:t>1.1.3</w:t>
            </w:r>
          </w:p>
          <w:p>
            <w:pPr>
              <w:spacing w:after="0"/>
            </w:pPr>
            <w:r>
              <w:rPr>
                <w:rStyle w:val="HiddenChar"/>
              </w:rPr>
              <w:t>ABORIGINAL TRUST FUND REPAYMENT SCHEME (AFTRS) - Claims</w:t>
            </w:r>
          </w:p>
        </w:tc>
        <w:tc>
          <w:tcPr>
            <w:tcW w:w="5812" w:type="dxa"/>
          </w:tcPr>
          <w:p>
            <w:r>
              <w:t xml:space="preserve">Records relating to meetings and liaison held with other agencies and stakeholders to coordinate and discuss the administration of claims processes. Includes meetings with NSW State Records, Legal Aid, Aboriginal Affairs, Department of Community Services etc. Records include agenda and minutes of meetings, correspondence relating to actions or business arising.</w:t>
            </w:r>
          </w:p>
        </w:tc>
        <w:tc>
          <w:tcPr>
            <w:tcW w:w="2268" w:type="dxa"/>
          </w:tcPr>
          <w:p>
            <w:r>
              <w:t>Retain minimum of 20 years after action completed, then destroy</w:t>
            </w:r>
          </w:p>
        </w:tc>
      </w:tr>
    </w:tbl>
    <w:p>
      <w:pPr>
        <w:pStyle w:val="Heading1"/>
        <w:pageBreakBefore/>
        <w:spacing w:after="0"/>
      </w:pPr>
      <w:bookmarkStart w:id="2" w:name="id3"/>
      <w:r>
        <w:t xml:space="preserve">2.0.0 </w:t>
      </w:r>
      <w:r>
        <w:t>CABINET SERVICES</w:t>
      </w:r>
      <w:bookmarkEnd w:id="2"/>
    </w:p>
    <w:p>
      <w:r>
        <w:t xml:space="preserve">The provision of administrative services to Cabinet and its committees and to the Executive Council.</w:t>
      </w:r>
    </w:p>
    <w:p>
      <w:r>
        <w:t xml:space="preserve">See </w:t>
      </w:r>
      <w:r>
        <w:t xml:space="preserve">General Retention and Disposal Authority </w:t>
      </w:r>
      <w:r>
        <w:rPr>
          <w:i/>
        </w:rPr>
        <w:t xml:space="preserve">Administrative records </w:t>
      </w:r>
      <w:r>
        <w:rPr>
          <w:b/>
        </w:rPr>
        <w:t xml:space="preserve">COMMITTEES </w:t>
      </w:r>
      <w:r>
        <w:t xml:space="preserve">1.0.2 </w:t>
      </w:r>
      <w:r>
        <w:t>for records relating to meetings of National Cabinet.</w:t>
      </w:r>
    </w:p>
    <w:p>
      <w:r>
        <w:t xml:space="preserve">See </w:t>
      </w:r>
      <w:r>
        <w:t xml:space="preserve">General Retention and Disposal Authority </w:t>
      </w:r>
      <w:r>
        <w:rPr>
          <w:i/>
        </w:rPr>
        <w:t xml:space="preserve">Administrative records </w:t>
      </w:r>
      <w:r>
        <w:rPr>
          <w:b/>
        </w:rPr>
        <w:t xml:space="preserve">COMMITTEES </w:t>
      </w:r>
      <w:r>
        <w:t>for records relating to administrative arrangements for meetings.</w:t>
      </w:r>
    </w:p>
    <w:p>
      <w:r>
        <w:t xml:space="preserve">See </w:t>
      </w:r>
      <w:r>
        <w:t xml:space="preserve">General Retention and Disposal Authority </w:t>
      </w:r>
      <w:r>
        <w:rPr>
          <w:i/>
        </w:rPr>
        <w:t xml:space="preserve">Administrative records </w:t>
      </w:r>
      <w:r>
        <w:rPr>
          <w:b/>
        </w:rPr>
        <w:t xml:space="preserve">GOVERNMENT RELATIONS </w:t>
      </w:r>
      <w:r>
        <w:rPr>
          <w:b/>
        </w:rPr>
        <w:t xml:space="preserve">- Advice </w:t>
      </w:r>
      <w:r>
        <w:t>for records relating to the provision of advice to the Premier, Ministers or other government organisations.</w:t>
      </w:r>
    </w:p>
    <w:p>
      <w:r>
        <w:t xml:space="preserve">See </w:t>
      </w:r>
      <w:r>
        <w:t xml:space="preserve">General Retention and Disposal Authority </w:t>
      </w:r>
      <w:r>
        <w:rPr>
          <w:i/>
        </w:rPr>
        <w:t xml:space="preserve">Administrative records </w:t>
      </w:r>
      <w:r>
        <w:rPr>
          <w:b/>
        </w:rPr>
        <w:t xml:space="preserve">LEGAL SERVICES </w:t>
      </w:r>
      <w:r>
        <w:rPr>
          <w:b/>
        </w:rPr>
        <w:t xml:space="preserve">- Advice </w:t>
      </w:r>
      <w:r>
        <w:t>for records relating to internal or external legal advice.</w:t>
      </w:r>
    </w:p>
    <w:p>
      <w:r>
        <w:t xml:space="preserve">See </w:t>
      </w:r>
      <w:r>
        <w:t xml:space="preserve">General Retention and Disposal Authority </w:t>
      </w:r>
      <w:r>
        <w:rPr>
          <w:i/>
        </w:rPr>
        <w:t xml:space="preserve">Administrative records </w:t>
      </w:r>
      <w:r>
        <w:rPr>
          <w:b/>
        </w:rPr>
        <w:t xml:space="preserve">STRATEGIC MANAGEMENT </w:t>
      </w:r>
      <w:r>
        <w:t>for records relating to policies, procedures and strategic planning.</w:t>
      </w:r>
    </w:p>
    <w:p>
      <w:r>
        <w:t xml:space="preserve">See </w:t>
      </w:r>
      <w:r>
        <w:t xml:space="preserve">General Retention and Disposal Authority </w:t>
      </w:r>
      <w:r>
        <w:rPr>
          <w:i/>
        </w:rPr>
        <w:t xml:space="preserve">Administrative records </w:t>
      </w:r>
      <w:r>
        <w:rPr>
          <w:b/>
        </w:rPr>
        <w:t xml:space="preserve">TECHNOLOGY &amp; TELECOMMUNICATIONS </w:t>
      </w:r>
      <w:r>
        <w:rPr>
          <w:b/>
        </w:rPr>
        <w:t xml:space="preserve">- Application development and management </w:t>
      </w:r>
      <w:r>
        <w:t>for records relating to audit trails of eCabinet showing access logs.</w:t>
      </w:r>
    </w:p>
    <w:p>
      <w:r>
        <w:t xml:space="preserve">See </w:t>
      </w:r>
      <w:r>
        <w:t xml:space="preserve">General Retention and Disposal Authority </w:t>
      </w:r>
      <w:r>
        <w:rPr>
          <w:i/>
        </w:rPr>
        <w:t xml:space="preserve">Records of a Minister's office </w:t>
      </w:r>
      <w:r>
        <w:t>for records relating to the development and finalisation of Cabinet submissions and Bills as created or modified by the Minister’s office</w:t>
      </w:r>
    </w:p>
    <w:p>
      <w:r>
        <w:t xml:space="preserve">See </w:t>
      </w:r>
      <w:r>
        <w:t xml:space="preserve">General Retention and Disposal Authority </w:t>
      </w:r>
      <w:r>
        <w:rPr>
          <w:i/>
        </w:rPr>
        <w:t xml:space="preserve">Records of a Minister's office </w:t>
      </w:r>
      <w:r>
        <w:t>for individual Minister’s copies of Cabinet minutes and papers containing briefing notes and departmental advices.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2.0.1</w:t>
            </w:r>
          </w:p>
          <w:p>
            <w:pPr>
              <w:spacing w:after="0"/>
            </w:pPr>
            <w:r>
              <w:rPr>
                <w:rStyle w:val="HiddenChar"/>
              </w:rPr>
              <w:t>CABINET SERVICES</w:t>
            </w:r>
          </w:p>
        </w:tc>
        <w:tc>
          <w:tcPr>
            <w:tcW w:w="5812" w:type="dxa"/>
          </w:tcPr>
          <w:p>
            <w:r>
              <w:t xml:space="preserve">The Cabinet Office’s set of agenda and Executive Council Minutes. </w:t>
            </w:r>
          </w:p>
          <w:p>
            <w:r>
              <w:rPr>
                <w:b/>
              </w:rPr>
              <w:r>
                <w:t xml:space="preserve">Note:</w:t>
              </w:r>
            </w:r>
            <w:r>
              <w:t xml:space="preserve"> the Office of the Governor retains the original  copy of Executive Council Minutes signed by the Governor. A copy of the Executive Council Minute and the attached business papers are returned to the originating Department, which is responsible for transferring the papers as State archives under the </w:t>
            </w:r>
            <w:r>
              <w:rPr>
                <w:i/>
              </w:rPr>
              <w:r>
                <w:t xml:space="preserve">General retention and disposal authority: administrative records</w:t>
              </w:r>
            </w:r>
            <w:r>
              <w:t xml:space="preserve"> GOVERNMENT RELATIONS - Submissions.</w:t>
            </w:r>
          </w:p>
        </w:tc>
        <w:tc>
          <w:tcPr>
            <w:tcW w:w="2268" w:type="dxa"/>
          </w:tcPr>
          <w:p>
            <w:r>
              <w:t>Retain until administrative or reference use ceases, then destroy</w:t>
            </w:r>
          </w:p>
        </w:tc>
      </w:tr>
      <w:tr>
        <w:trPr>
          <w:jc w:val="center"/>
        </w:trPr>
        <w:tc>
          <w:tcPr>
            <w:tcW w:w="992" w:type="dxa"/>
          </w:tcPr>
          <w:p>
            <w:pPr>
              <w:spacing w:after="0"/>
            </w:pPr>
            <w:r>
              <w:t>2.0.2</w:t>
            </w:r>
          </w:p>
          <w:p>
            <w:pPr>
              <w:spacing w:after="0"/>
            </w:pPr>
            <w:r>
              <w:rPr>
                <w:rStyle w:val="HiddenChar"/>
              </w:rPr>
              <w:t>CABINET SERVICES</w:t>
            </w:r>
          </w:p>
        </w:tc>
        <w:tc>
          <w:tcPr>
            <w:tcW w:w="5812" w:type="dxa"/>
          </w:tcPr>
          <w:p>
            <w:r>
              <w:t xml:space="preserve">Key records of Cabinet and Cabinet committees. Includes:</w:t>
            </w:r>
          </w:p>
          <w:p>
            <w:pPr>
              <w:pStyle w:val="ListParagraph"/>
              <w:keepNext w:val="0"/>
              <w:widowControl w:val="0"/>
              <w:numPr>
                <w:ilvl w:val="0"/>
                <w:numId w:val="1"/>
              </w:numPr>
            </w:pPr>
            <w:r>
              <w:t xml:space="preserve">Official set of Cabinet and Cabinet committee meeting submissions and papers</w:t>
            </w:r>
          </w:p>
          <w:p>
            <w:pPr>
              <w:pStyle w:val="ListParagraph"/>
              <w:keepNext w:val="0"/>
              <w:widowControl w:val="0"/>
              <w:numPr>
                <w:ilvl w:val="0"/>
                <w:numId w:val="1"/>
              </w:numPr>
            </w:pPr>
            <w:r>
              <w:t xml:space="preserve">Registers of Cabinet decisions and meeting attendance</w:t>
            </w:r>
          </w:p>
          <w:p>
            <w:pPr>
              <w:pStyle w:val="ListParagraph"/>
              <w:keepNext w:val="0"/>
              <w:widowControl w:val="0"/>
              <w:numPr>
                <w:ilvl w:val="0"/>
                <w:numId w:val="1"/>
              </w:numPr>
            </w:pPr>
            <w:r>
              <w:t xml:space="preserve">Register of Cabinet Submissions including Cabinet Submission Number, subject, matter, minister, meeting date, date received and resolutions</w:t>
            </w:r>
          </w:p>
          <w:p>
            <w:pPr>
              <w:pStyle w:val="ListParagraph"/>
              <w:keepNext w:val="0"/>
              <w:widowControl w:val="0"/>
              <w:numPr>
                <w:ilvl w:val="0"/>
                <w:numId w:val="1"/>
              </w:numPr>
            </w:pPr>
            <w:r>
              <w:t xml:space="preserve">Cabinet Minutes which have been withdrawn before being considered by Cabinet, including correspondence dealing with the Minutes and their withdrawal and supporting documentation.</w:t>
            </w:r>
          </w:p>
          <w:p>
            <w:r>
              <w:rPr>
                <w:b/>
              </w:rPr>
              <w:r>
                <w:t xml:space="preserve">Note:</w:t>
              </w:r>
            </w:r>
            <w:r>
              <w:t xml:space="preserve"> individual Ministers copies of Cabinet papers can be destroyed under the Normal Administrative Practice provisions of the </w:t>
            </w:r>
            <w:hyperlink w:tooltip="http://www.bogus.com">
              <w:r>
                <w:rPr>
                  <w:rStyle w:val="Hyperlink"/>
                  <w:i/>
                </w:rPr>
                <w:r>
                  <w:t xml:space="preserve">State Records Regulation</w:t>
                </w:r>
              </w:r>
            </w:hyperlink>
            <w:r>
              <w:t xml:space="preserve">  as duplicates.</w:t>
            </w:r>
          </w:p>
        </w:tc>
        <w:tc>
          <w:tcPr>
            <w:tcW w:w="2268" w:type="dxa"/>
          </w:tcPr>
          <w:p>
            <w:r>
              <w:t>Required as State archives</w:t>
            </w:r>
          </w:p>
        </w:tc>
      </w:tr>
    </w:tbl>
    <w:p>
      <w:pPr>
        <w:pStyle w:val="Heading1"/>
        <w:pageBreakBefore/>
        <w:spacing w:after="0"/>
      </w:pPr>
      <w:bookmarkStart w:id="3" w:name="id4"/>
      <w:r>
        <w:t xml:space="preserve">3.0.0 </w:t>
      </w:r>
      <w:r>
        <w:t>COMMUNITY SUPPORT</w:t>
      </w:r>
      <w:bookmarkEnd w:id="3"/>
    </w:p>
    <w:p>
      <w:r>
        <w:t xml:space="preserve">The function of facilitating, delivering or coordinating programs or projects to assist or support or to address issues impacting on the general community or targeted community groups such as regional or rural communities, the Aboriginal community, women, seniors, children, etc. </w:t>
      </w:r>
    </w:p>
    <w:p>
      <w:r>
        <w:t xml:space="preserve">See </w:t>
      </w:r>
      <w:r>
        <w:t xml:space="preserve">General Retention and Disposal Authority </w:t>
      </w:r>
      <w:r>
        <w:rPr>
          <w:i/>
        </w:rPr>
        <w:t xml:space="preserve">Administrative records </w:t>
      </w:r>
      <w:r>
        <w:rPr>
          <w:b/>
        </w:rPr>
        <w:t xml:space="preserve">COMMUNITY RELATIONS </w:t>
      </w:r>
      <w:r>
        <w:t>for records of addresses, speeches, media releases or statements delivered or issued by the Premier.</w:t>
      </w:r>
    </w:p>
    <w:p>
      <w:r>
        <w:t xml:space="preserve">See </w:t>
      </w:r>
      <w:r>
        <w:t xml:space="preserve">General Retention and Disposal Authority </w:t>
      </w:r>
      <w:r>
        <w:rPr>
          <w:i/>
        </w:rPr>
        <w:t xml:space="preserve">Records of a Minister's office </w:t>
      </w:r>
      <w:r>
        <w:t>for records relating to Ministerial involvements in grants and funding decisions.</w:t>
      </w:r>
    </w:p>
    <w:p>
      <w:pPr>
        <w:pStyle w:val="Heading2"/>
        <w:spacing w:after="0"/>
      </w:pPr>
      <w:bookmarkStart w:id="1" w:name="id5"/>
      <w:r>
        <w:t xml:space="preserve">3.1.0 </w:t>
      </w:r>
      <w:r>
        <w:t>Committees</w:t>
      </w:r>
      <w:bookmarkEnd w:id="1"/>
    </w:p>
    <w:p>
      <w:r>
        <w:t xml:space="preserve">The activities associated with the management of executive and advisory committees and task forces.  </w:t>
      </w:r>
    </w:p>
    <w:p>
      <w:r>
        <w:t xml:space="preserve">See </w:t>
      </w:r>
      <w:r>
        <w:t xml:space="preserve">General Retention and Disposal Authority </w:t>
      </w:r>
      <w:r>
        <w:rPr>
          <w:i/>
        </w:rPr>
        <w:t xml:space="preserve">Administrative records </w:t>
      </w:r>
      <w:r>
        <w:rPr>
          <w:b/>
        </w:rPr>
        <w:t xml:space="preserve">LEGAL SERVICES </w:t>
      </w:r>
      <w:r>
        <w:rPr>
          <w:b/>
        </w:rPr>
        <w:t xml:space="preserve">- Advice </w:t>
      </w:r>
      <w:r>
        <w:t>for records relating to legal advice furnished to committees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3.1.1</w:t>
            </w:r>
          </w:p>
          <w:p>
            <w:pPr>
              <w:spacing w:after="0"/>
            </w:pPr>
            <w:r>
              <w:rPr>
                <w:rStyle w:val="HiddenChar"/>
              </w:rPr>
              <w:t>COMMUNITY SUPPORT - Committees</w:t>
            </w:r>
          </w:p>
        </w:tc>
        <w:tc>
          <w:tcPr>
            <w:tcW w:w="5812" w:type="dxa"/>
          </w:tcPr>
          <w:p>
            <w:r>
              <w:t xml:space="preserve">Records relating to the registration of persons interested in serving on boards and committees. Records include expressions of interest, applications, correspondence with applicants.</w:t>
            </w:r>
          </w:p>
        </w:tc>
        <w:tc>
          <w:tcPr>
            <w:tcW w:w="2268" w:type="dxa"/>
          </w:tcPr>
          <w:p>
            <w:r>
              <w:t>Retain until interest withdrawn or reference use ceases, then destroy</w:t>
            </w:r>
          </w:p>
        </w:tc>
      </w:tr>
      <w:tr>
        <w:trPr>
          <w:jc w:val="center"/>
        </w:trPr>
        <w:tc>
          <w:tcPr>
            <w:tcW w:w="992" w:type="dxa"/>
          </w:tcPr>
          <w:p>
            <w:pPr>
              <w:spacing w:after="0"/>
            </w:pPr>
            <w:r>
              <w:t>3.1.2</w:t>
            </w:r>
          </w:p>
          <w:p>
            <w:pPr>
              <w:spacing w:after="0"/>
            </w:pPr>
            <w:r>
              <w:rPr>
                <w:rStyle w:val="HiddenChar"/>
              </w:rPr>
              <w:t>COMMUNITY SUPPORT - Committees</w:t>
            </w:r>
          </w:p>
        </w:tc>
        <w:tc>
          <w:tcPr>
            <w:tcW w:w="5812" w:type="dxa"/>
          </w:tcPr>
          <w:p>
            <w:r>
              <w:t xml:space="preserve">Records relating to advertisements on behalf of agencies seeking candidates to sit on boards and committees. Records include requests from agencies, and the placement of advertisements.</w:t>
            </w:r>
          </w:p>
        </w:tc>
        <w:tc>
          <w:tcPr>
            <w:tcW w:w="2268" w:type="dxa"/>
          </w:tcPr>
          <w:p>
            <w:r>
              <w:t>Retain minimum of 2 years after action completed, then destroy</w:t>
            </w:r>
          </w:p>
        </w:tc>
      </w:tr>
      <w:tr>
        <w:trPr>
          <w:jc w:val="center"/>
        </w:trPr>
        <w:tc>
          <w:tcPr>
            <w:tcW w:w="992" w:type="dxa"/>
          </w:tcPr>
          <w:p>
            <w:pPr>
              <w:spacing w:after="0"/>
            </w:pPr>
            <w:r>
              <w:t>3.1.3</w:t>
            </w:r>
          </w:p>
          <w:p>
            <w:pPr>
              <w:spacing w:after="0"/>
            </w:pPr>
            <w:r>
              <w:rPr>
                <w:rStyle w:val="HiddenChar"/>
              </w:rPr>
              <w:t>COMMUNITY SUPPORT - Committees</w:t>
            </w:r>
          </w:p>
        </w:tc>
        <w:tc>
          <w:tcPr>
            <w:tcW w:w="5812" w:type="dxa"/>
          </w:tcPr>
          <w:p>
            <w:r>
              <w:t xml:space="preserve">Guidelines and handbooks relating to board or committee appointments, remuneration, standards of conduct, etc. This includes guidelines and handbooks developed for use by agencies or for board or committee members.</w:t>
            </w:r>
          </w:p>
        </w:tc>
        <w:tc>
          <w:tcPr>
            <w:tcW w:w="2268" w:type="dxa"/>
          </w:tcPr>
          <w:p>
            <w:r>
              <w:t>Required as State archives</w:t>
            </w:r>
          </w:p>
        </w:tc>
      </w:tr>
      <w:tr>
        <w:trPr>
          <w:jc w:val="center"/>
        </w:trPr>
        <w:tc>
          <w:tcPr>
            <w:tcW w:w="992" w:type="dxa"/>
          </w:tcPr>
          <w:p>
            <w:pPr>
              <w:spacing w:after="0"/>
            </w:pPr>
            <w:r>
              <w:t>3.1.4</w:t>
            </w:r>
          </w:p>
          <w:p>
            <w:pPr>
              <w:spacing w:after="0"/>
            </w:pPr>
            <w:r>
              <w:rPr>
                <w:rStyle w:val="HiddenChar"/>
              </w:rPr>
              <w:t>COMMUNITY SUPPORT - Committees</w:t>
            </w:r>
          </w:p>
        </w:tc>
        <w:tc>
          <w:tcPr>
            <w:tcW w:w="5812" w:type="dxa"/>
          </w:tcPr>
          <w:p>
            <w:r>
              <w:t xml:space="preserve">Records relating to the development of guidelines and handbooks concerning board or committee appointments, remuneration, standards of conduct, etc. Includes records of drafting and development processes.</w:t>
            </w:r>
          </w:p>
        </w:tc>
        <w:tc>
          <w:tcPr>
            <w:tcW w:w="2268" w:type="dxa"/>
          </w:tcPr>
          <w:p>
            <w:r>
              <w:t>Retain minimum of 10 years after action completed, then destroy</w:t>
            </w:r>
          </w:p>
        </w:tc>
      </w:tr>
      <w:tr>
        <w:trPr>
          <w:jc w:val="center"/>
        </w:trPr>
        <w:tc>
          <w:tcPr>
            <w:tcW w:w="992" w:type="dxa"/>
          </w:tcPr>
          <w:p>
            <w:pPr>
              <w:spacing w:after="0"/>
            </w:pPr>
            <w:r>
              <w:t>3.1.5</w:t>
            </w:r>
          </w:p>
          <w:p>
            <w:pPr>
              <w:spacing w:after="0"/>
            </w:pPr>
            <w:r>
              <w:rPr>
                <w:rStyle w:val="HiddenChar"/>
              </w:rPr>
              <w:t>COMMUNITY SUPPORT - Committees</w:t>
            </w:r>
          </w:p>
        </w:tc>
        <w:tc>
          <w:tcPr>
            <w:tcW w:w="5812" w:type="dxa"/>
          </w:tcPr>
          <w:p>
            <w:r>
              <w:t xml:space="preserve">Summary information resources and brochures developed for the public relating to or promoting community representation on boards and committees.</w:t>
            </w:r>
          </w:p>
        </w:tc>
        <w:tc>
          <w:tcPr>
            <w:tcW w:w="2268" w:type="dxa"/>
          </w:tcPr>
          <w:p>
            <w:r>
              <w:t>Retain minimum of 5 years after superseded or withdrawn, then destroy</w:t>
            </w:r>
          </w:p>
        </w:tc>
      </w:tr>
    </w:tbl>
    <w:p>
      <w:pPr>
        <w:pStyle w:val="Heading2"/>
        <w:spacing w:after="0"/>
      </w:pPr>
      <w:bookmarkStart w:id="2" w:name="id6"/>
      <w:r>
        <w:t xml:space="preserve">3.2.0 </w:t>
      </w:r>
      <w:r>
        <w:t>Community Cabinets</w:t>
      </w:r>
      <w:bookmarkEnd w:id="2"/>
    </w:p>
    <w:p>
      <w:r>
        <w:t xml:space="preserve">Activities associated with arranging and responding to issues arising from Community Cabinets. Includes arrangements for Cabinet visits to regional and suburban centres to hold formal Cabinet meetings and Ministerial meetings with local organisations and community groups.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3.2.1</w:t>
            </w:r>
          </w:p>
          <w:p>
            <w:pPr>
              <w:spacing w:after="0"/>
            </w:pPr>
            <w:r>
              <w:rPr>
                <w:rStyle w:val="HiddenChar"/>
              </w:rPr>
              <w:t>COMMUNITY SUPPORT - Community Cabinets</w:t>
            </w:r>
          </w:p>
        </w:tc>
        <w:tc>
          <w:tcPr>
            <w:tcW w:w="5812" w:type="dxa"/>
          </w:tcPr>
          <w:p>
            <w:r>
              <w:t xml:space="preserve">Records relating to regional meetings of Cabinet and forums or meetings held as part of regional visits, e.g. correspondence regarding arrangements, invitations and visits to local areas of interest or concern, submissions from local organisations or Local Government, advice from relevant Minister on submissions, local initiatives, records documenting issues raised or matters discussed during meetings, forums and Q&amp;A sessions and briefings and reports relating to the investigation of issues raised.</w:t>
            </w:r>
          </w:p>
        </w:tc>
        <w:tc>
          <w:tcPr>
            <w:tcW w:w="2268" w:type="dxa"/>
          </w:tcPr>
          <w:p>
            <w:r>
              <w:t>Required as State archives</w:t>
            </w:r>
          </w:p>
        </w:tc>
      </w:tr>
      <w:tr>
        <w:trPr>
          <w:jc w:val="center"/>
        </w:trPr>
        <w:tc>
          <w:tcPr>
            <w:tcW w:w="992" w:type="dxa"/>
          </w:tcPr>
          <w:p>
            <w:pPr>
              <w:spacing w:after="0"/>
            </w:pPr>
            <w:r>
              <w:t>3.2.2</w:t>
            </w:r>
          </w:p>
          <w:p>
            <w:pPr>
              <w:spacing w:after="0"/>
            </w:pPr>
            <w:r>
              <w:rPr>
                <w:rStyle w:val="HiddenChar"/>
              </w:rPr>
              <w:t>COMMUNITY SUPPORT - Community Cabinets</w:t>
            </w:r>
          </w:p>
        </w:tc>
        <w:tc>
          <w:tcPr>
            <w:tcW w:w="5812" w:type="dxa"/>
          </w:tcPr>
          <w:p>
            <w:r>
              <w:t xml:space="preserve">Records relating to arrangements for community cabinets. Includes advertising and notification of meetings, booking and arrangements regarding venues, facilities, etc.</w:t>
            </w:r>
          </w:p>
        </w:tc>
        <w:tc>
          <w:tcPr>
            <w:tcW w:w="2268" w:type="dxa"/>
          </w:tcPr>
          <w:p>
            <w:r>
              <w:t>Retain minimum of 2 years after action completed, then destroy</w:t>
            </w:r>
          </w:p>
        </w:tc>
      </w:tr>
    </w:tbl>
    <w:p>
      <w:pPr>
        <w:pStyle w:val="Heading2"/>
        <w:spacing w:after="0"/>
      </w:pPr>
      <w:bookmarkStart w:id="3" w:name="id7"/>
      <w:r>
        <w:t xml:space="preserve">3.3.0 </w:t>
      </w:r>
      <w:r>
        <w:t>Grant assistance</w:t>
      </w:r>
      <w:bookmarkEnd w:id="3"/>
    </w:p>
    <w:p>
      <w:r>
        <w:t xml:space="preserve">The activities associated with receiving applications for and issuing grant funding to community groups, organisations or individuals.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3.3.1</w:t>
            </w:r>
          </w:p>
          <w:p>
            <w:pPr>
              <w:spacing w:after="0"/>
            </w:pPr>
            <w:r>
              <w:rPr>
                <w:rStyle w:val="HiddenChar"/>
              </w:rPr>
              <w:t>COMMUNITY SUPPORT - Grant assistance</w:t>
            </w:r>
          </w:p>
        </w:tc>
        <w:tc>
          <w:tcPr>
            <w:tcW w:w="5812" w:type="dxa"/>
          </w:tcPr>
          <w:p>
            <w:r>
              <w:t xml:space="preserve">Records of:</w:t>
            </w:r>
          </w:p>
          <w:p>
            <w:pPr>
              <w:pStyle w:val="ListParagraph"/>
              <w:keepNext w:val="0"/>
              <w:widowControl w:val="0"/>
              <w:numPr>
                <w:ilvl w:val="0"/>
                <w:numId w:val="1"/>
              </w:numPr>
            </w:pPr>
            <w:r>
              <w:t xml:space="preserve">the deliberations and decisions of committees or panels responsible for the assessment of grant or funding applications</w:t>
            </w:r>
          </w:p>
          <w:p>
            <w:pPr>
              <w:pStyle w:val="ListParagraph"/>
              <w:keepNext w:val="0"/>
              <w:widowControl w:val="0"/>
              <w:numPr>
                <w:ilvl w:val="0"/>
                <w:numId w:val="1"/>
              </w:numPr>
            </w:pPr>
            <w:r>
              <w:t xml:space="preserve">submissions to the Premier or responsible delegated officer concerning recommendations for grant or funding approvals</w:t>
            </w:r>
          </w:p>
          <w:p>
            <w:pPr>
              <w:pStyle w:val="ListParagraph"/>
              <w:keepNext w:val="0"/>
              <w:widowControl w:val="0"/>
              <w:numPr>
                <w:ilvl w:val="0"/>
                <w:numId w:val="1"/>
              </w:numPr>
            </w:pPr>
            <w:r>
              <w:t xml:space="preserve">records documenting the Premier's or delegated officer's approval or variance of these recommendations</w:t>
            </w:r>
          </w:p>
          <w:p>
            <w:pPr>
              <w:pStyle w:val="ListParagraph"/>
              <w:keepNext w:val="0"/>
              <w:widowControl w:val="0"/>
              <w:numPr>
                <w:ilvl w:val="0"/>
                <w:numId w:val="1"/>
              </w:numPr>
            </w:pPr>
            <w:r>
              <w:t xml:space="preserve">summary records or registers of grant applications (successful or unsuccessful) </w:t>
            </w:r>
          </w:p>
          <w:p>
            <w:pPr>
              <w:pStyle w:val="ListParagraph"/>
              <w:keepNext w:val="0"/>
              <w:widowControl w:val="0"/>
              <w:numPr>
                <w:ilvl w:val="0"/>
                <w:numId w:val="1"/>
              </w:numPr>
            </w:pPr>
            <w:r>
              <w:t xml:space="preserve">final reports that detail the outcome of projects.</w:t>
            </w:r>
          </w:p>
        </w:tc>
        <w:tc>
          <w:tcPr>
            <w:tcW w:w="2268" w:type="dxa"/>
          </w:tcPr>
          <w:p>
            <w:r>
              <w:t>Required as State archives</w:t>
            </w:r>
          </w:p>
        </w:tc>
      </w:tr>
      <w:tr>
        <w:trPr>
          <w:jc w:val="center"/>
        </w:trPr>
        <w:tc>
          <w:tcPr>
            <w:tcW w:w="992" w:type="dxa"/>
          </w:tcPr>
          <w:p>
            <w:pPr>
              <w:spacing w:after="0"/>
            </w:pPr>
            <w:r>
              <w:t>3.3.2</w:t>
            </w:r>
          </w:p>
          <w:p>
            <w:pPr>
              <w:spacing w:after="0"/>
            </w:pPr>
            <w:r>
              <w:rPr>
                <w:rStyle w:val="HiddenChar"/>
              </w:rPr>
              <w:t>COMMUNITY SUPPORT - Grant assistance</w:t>
            </w:r>
          </w:p>
        </w:tc>
        <w:tc>
          <w:tcPr>
            <w:tcW w:w="5812" w:type="dxa"/>
          </w:tcPr>
          <w:p>
            <w:r>
              <w:t xml:space="preserve">Superseded see entry 3.3.3.</w:t>
            </w:r>
          </w:p>
        </w:tc>
        <w:tc>
          <w:tcPr>
            <w:tcW w:w="2268" w:type="dxa"/>
          </w:tcPr>
          <w:p>
            <w:r>
              <w:t/>
            </w:r>
          </w:p>
        </w:tc>
      </w:tr>
      <w:tr>
        <w:trPr>
          <w:jc w:val="center"/>
        </w:trPr>
        <w:tc>
          <w:tcPr>
            <w:tcW w:w="992" w:type="dxa"/>
          </w:tcPr>
          <w:p>
            <w:pPr>
              <w:spacing w:after="0"/>
            </w:pPr>
            <w:r>
              <w:t>3.3.3</w:t>
            </w:r>
          </w:p>
          <w:p>
            <w:pPr>
              <w:spacing w:after="0"/>
            </w:pPr>
            <w:r>
              <w:rPr>
                <w:rStyle w:val="HiddenChar"/>
              </w:rPr>
              <w:t>COMMUNITY SUPPORT - Grant assistance</w:t>
            </w:r>
          </w:p>
        </w:tc>
        <w:tc>
          <w:tcPr>
            <w:tcW w:w="5812" w:type="dxa"/>
          </w:tcPr>
          <w:p>
            <w:r>
              <w:t xml:space="preserve">Records of successful grants to support community projects or services within local communities. This includes records of the grant application and associated records relating to the administration and monitoring of the grant, including correspondence and consultation with and reports, papers or financial statements, etc., submitted by the grant recipient.</w:t>
            </w:r>
          </w:p>
          <w:p>
            <w:r>
              <w:t xml:space="preserve">See </w:t>
            </w:r>
            <w:r>
              <w:rPr>
                <w:i/>
              </w:rPr>
              <w:r>
                <w:t xml:space="preserve">Grants Administration Guide</w:t>
              </w:r>
            </w:r>
            <w:r>
              <w:t xml:space="preserve"> for requirements of administering NSW Government grants.</w:t>
            </w:r>
          </w:p>
        </w:tc>
        <w:tc>
          <w:tcPr>
            <w:tcW w:w="2268" w:type="dxa"/>
          </w:tcPr>
          <w:p>
            <w:r>
              <w:t>Retain minimum of 7 years after all grant conditions are complete, then destroy</w:t>
            </w:r>
          </w:p>
        </w:tc>
      </w:tr>
      <w:tr>
        <w:trPr>
          <w:jc w:val="center"/>
        </w:trPr>
        <w:tc>
          <w:tcPr>
            <w:tcW w:w="992" w:type="dxa"/>
          </w:tcPr>
          <w:p>
            <w:pPr>
              <w:spacing w:after="0"/>
            </w:pPr>
            <w:r>
              <w:t>3.3.4</w:t>
            </w:r>
          </w:p>
          <w:p>
            <w:pPr>
              <w:spacing w:after="0"/>
            </w:pPr>
            <w:r>
              <w:rPr>
                <w:rStyle w:val="HiddenChar"/>
              </w:rPr>
              <w:t>COMMUNITY SUPPORT - Grant assistance</w:t>
            </w:r>
          </w:p>
        </w:tc>
        <w:tc>
          <w:tcPr>
            <w:tcW w:w="5812" w:type="dxa"/>
          </w:tcPr>
          <w:p>
            <w:r>
              <w:t xml:space="preserve">Records relating to the assessment of grant applications that are unsuccessful.</w:t>
            </w:r>
          </w:p>
        </w:tc>
        <w:tc>
          <w:tcPr>
            <w:tcW w:w="2268" w:type="dxa"/>
          </w:tcPr>
          <w:p>
            <w:r>
              <w:t>Retain minimum of 7 years after action completed, then destroy</w:t>
            </w:r>
          </w:p>
        </w:tc>
      </w:tr>
      <w:tr>
        <w:trPr>
          <w:jc w:val="center"/>
        </w:trPr>
        <w:tc>
          <w:tcPr>
            <w:tcW w:w="992" w:type="dxa"/>
          </w:tcPr>
          <w:p>
            <w:pPr>
              <w:spacing w:after="0"/>
            </w:pPr>
            <w:r>
              <w:t>3.3.5</w:t>
            </w:r>
          </w:p>
          <w:p>
            <w:pPr>
              <w:spacing w:after="0"/>
            </w:pPr>
            <w:r>
              <w:rPr>
                <w:rStyle w:val="HiddenChar"/>
              </w:rPr>
              <w:t>COMMUNITY SUPPORT - Grant assistance</w:t>
            </w:r>
          </w:p>
        </w:tc>
        <w:tc>
          <w:tcPr>
            <w:tcW w:w="5812" w:type="dxa"/>
          </w:tcPr>
          <w:p>
            <w:r>
              <w:t xml:space="preserve">Superseded. See entry 3.3.1</w:t>
            </w:r>
          </w:p>
        </w:tc>
        <w:tc>
          <w:tcPr>
            <w:tcW w:w="2268" w:type="dxa"/>
          </w:tcPr>
          <w:p>
            <w:r>
              <w:t/>
            </w:r>
          </w:p>
        </w:tc>
      </w:tr>
    </w:tbl>
    <w:p>
      <w:pPr>
        <w:pStyle w:val="Heading2"/>
        <w:spacing w:after="0"/>
      </w:pPr>
      <w:bookmarkStart w:id="4" w:name="id8"/>
      <w:r>
        <w:t xml:space="preserve">3.4.0 </w:t>
      </w:r>
      <w:r>
        <w:t>Policy</w:t>
      </w:r>
      <w:bookmarkEnd w:id="4"/>
    </w:p>
    <w:p>
      <w:r>
        <w:t xml:space="preserve">The activities associated with developing and establishing policy decisions relating to development and delivery of services and programs to the community.</w:t>
      </w:r>
    </w:p>
    <w:p>
      <w:r>
        <w:t xml:space="preserve">See </w:t>
      </w:r>
      <w:r>
        <w:rPr>
          <w:b/>
        </w:rPr>
        <w:t xml:space="preserve">COMMUNITY SUPPORT - COMMITTEES </w:t>
      </w:r>
      <w:r>
        <w:t>for records relating to the development of policies and guidelines for people to sit on boards and committees.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3.4.1</w:t>
            </w:r>
          </w:p>
          <w:p>
            <w:pPr>
              <w:spacing w:after="0"/>
            </w:pPr>
            <w:r>
              <w:rPr>
                <w:rStyle w:val="HiddenChar"/>
              </w:rPr>
              <w:t>COMMUNITY SUPPORT - Policy</w:t>
            </w:r>
          </w:p>
        </w:tc>
        <w:tc>
          <w:tcPr>
            <w:tcW w:w="5812" w:type="dxa"/>
          </w:tcPr>
          <w:p>
            <w:r>
              <w:t xml:space="preserve">Records relating to development of whole of government or multiple agency policy concerning the provision of services and programs to the general community or to targeted community groups, where the agency takes a lead role in development and implementation of the policy. Records include guidelines setting the criteria for the involvement of the agency in service delivery projects or improvement activities, policy proposals, background research, records of consultations or meetings, draft versions of policies containing significant changes or alterations or formally circulated for comment, reports analysing issues and the outcomes of consultation with stakeholders etc. </w:t>
            </w:r>
          </w:p>
        </w:tc>
        <w:tc>
          <w:tcPr>
            <w:tcW w:w="2268" w:type="dxa"/>
          </w:tcPr>
          <w:p>
            <w:r>
              <w:t>Required as State archives</w:t>
            </w:r>
          </w:p>
        </w:tc>
      </w:tr>
    </w:tbl>
    <w:p>
      <w:pPr>
        <w:pStyle w:val="Heading2"/>
        <w:spacing w:after="0"/>
      </w:pPr>
      <w:bookmarkStart w:id="5" w:name="id9"/>
      <w:r>
        <w:t xml:space="preserve">3.5.0 </w:t>
      </w:r>
      <w:r>
        <w:t>Programs</w:t>
      </w:r>
      <w:bookmarkEnd w:id="5"/>
    </w:p>
    <w:p>
      <w:r>
        <w:t xml:space="preserve">The process of managing a set of procedures, activities, resources, related projects and/or management strategies that are usually ongoing. </w:t>
      </w:r>
    </w:p>
    <w:p>
      <w:r>
        <w:t xml:space="preserve">See </w:t>
      </w:r>
      <w:r>
        <w:rPr>
          <w:b/>
        </w:rPr>
        <w:t xml:space="preserve">COMMUNITY SUPPORT </w:t>
      </w:r>
      <w:r>
        <w:rPr>
          <w:b/>
        </w:rPr>
        <w:t xml:space="preserve">- Service coordination </w:t>
      </w:r>
      <w:r>
        <w:t>for records relating to projects initiated to resolve local issues requiring interagency coordination</w:t>
      </w:r>
    </w:p>
    <w:p>
      <w:r>
        <w:t xml:space="preserve">See </w:t>
      </w:r>
      <w:r>
        <w:rPr>
          <w:b/>
        </w:rPr>
        <w:t xml:space="preserve">PUBLIC SECTOR PERFORMANCE REVIEW </w:t>
      </w:r>
      <w:r>
        <w:rPr>
          <w:b/>
        </w:rPr>
        <w:t xml:space="preserve">- Program performance improvement </w:t>
      </w:r>
      <w:r>
        <w:t>for state wide strategies to address structural issues in the performance and delivery of programs in the New South Wales public sector.</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3.5.1</w:t>
            </w:r>
          </w:p>
          <w:p>
            <w:pPr>
              <w:spacing w:after="0"/>
            </w:pPr>
            <w:r>
              <w:rPr>
                <w:rStyle w:val="HiddenChar"/>
              </w:rPr>
              <w:t>COMMUNITY SUPPORT - Programs</w:t>
            </w:r>
          </w:p>
        </w:tc>
        <w:tc>
          <w:tcPr>
            <w:tcW w:w="5812" w:type="dxa"/>
          </w:tcPr>
          <w:p>
            <w:r>
              <w:t xml:space="preserve">Records relating to programs or schemes developed to address issues affecting or to support the development and delivery of services to the general community or to targeted community groups e.g. programs to assist community groups with employment and settlement, support volunteering or crime prevention and community safety programs.  Includes records documenting programs of work, consultation and liaison with other organisations, agencies or community groups, guidelines and publications developed to support the programs. Also includes records documenting the evaluation, assessment or reporting on the outcomes of the programs.</w:t>
            </w:r>
          </w:p>
        </w:tc>
        <w:tc>
          <w:tcPr>
            <w:tcW w:w="2268" w:type="dxa"/>
          </w:tcPr>
          <w:p>
            <w:r>
              <w:t>Required as State archives</w:t>
            </w:r>
          </w:p>
        </w:tc>
      </w:tr>
    </w:tbl>
    <w:p>
      <w:pPr>
        <w:pStyle w:val="Heading2"/>
        <w:spacing w:after="0"/>
      </w:pPr>
      <w:bookmarkStart w:id="6" w:name="id10"/>
      <w:r>
        <w:t xml:space="preserve">3.7.0 </w:t>
      </w:r>
      <w:r>
        <w:t>Representations</w:t>
      </w:r>
      <w:bookmarkEnd w:id="6"/>
    </w:p>
    <w:p>
      <w:r>
        <w:t xml:space="preserve">Representations to the Premier by members of the public, individual organisations, other agencies or Members of Parliament on behalf of a constituent seeking formal response.</w:t>
      </w:r>
    </w:p>
    <w:p>
      <w:r>
        <w:t xml:space="preserve">See </w:t>
      </w:r>
      <w:r>
        <w:t xml:space="preserve">General Retention and Disposal Authority </w:t>
      </w:r>
      <w:r>
        <w:rPr>
          <w:i/>
        </w:rPr>
        <w:t xml:space="preserve">Administrative records </w:t>
      </w:r>
      <w:r>
        <w:rPr>
          <w:b/>
        </w:rPr>
        <w:t xml:space="preserve">GOVERNMENT RELATIONS </w:t>
      </w:r>
      <w:r>
        <w:rPr>
          <w:b/>
        </w:rPr>
        <w:t xml:space="preserve">- Advice </w:t>
      </w:r>
      <w:r>
        <w:t>for records relating to briefing notes prepared for other Ministers.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3.7.1</w:t>
            </w:r>
          </w:p>
          <w:p>
            <w:pPr>
              <w:spacing w:after="0"/>
            </w:pPr>
            <w:r>
              <w:rPr>
                <w:rStyle w:val="HiddenChar"/>
              </w:rPr>
              <w:t>COMMUNITY SUPPORT - Representations</w:t>
            </w:r>
          </w:p>
        </w:tc>
        <w:tc>
          <w:tcPr>
            <w:tcW w:w="5812" w:type="dxa"/>
          </w:tcPr>
          <w:p>
            <w:r>
              <w:t xml:space="preserve">Records relating to responses to correspondence, petitions, campaigns or continuing issues received by the Premier where a submission has been prepared for the authorisation of a reply by a senior officer of the relevant Department or the Premier/Minister. Records include:</w:t>
            </w:r>
          </w:p>
          <w:p>
            <w:pPr>
              <w:pStyle w:val="ListParagraph"/>
              <w:keepNext w:val="0"/>
              <w:widowControl w:val="0"/>
              <w:numPr>
                <w:ilvl w:val="0"/>
                <w:numId w:val="1"/>
              </w:numPr>
            </w:pPr>
            <w:r>
              <w:t xml:space="preserve">copies of letters received</w:t>
            </w:r>
          </w:p>
          <w:p>
            <w:pPr>
              <w:pStyle w:val="ListParagraph"/>
              <w:keepNext w:val="0"/>
              <w:widowControl w:val="0"/>
              <w:numPr>
                <w:ilvl w:val="0"/>
                <w:numId w:val="1"/>
              </w:numPr>
            </w:pPr>
            <w:r>
              <w:t xml:space="preserve">draft responses</w:t>
            </w:r>
          </w:p>
          <w:p>
            <w:pPr>
              <w:pStyle w:val="ListParagraph"/>
              <w:keepNext w:val="0"/>
              <w:widowControl w:val="0"/>
              <w:numPr>
                <w:ilvl w:val="0"/>
                <w:numId w:val="1"/>
              </w:numPr>
            </w:pPr>
            <w:r>
              <w:t xml:space="preserve">minutes providing details</w:t>
            </w:r>
          </w:p>
          <w:p>
            <w:pPr>
              <w:pStyle w:val="ListParagraph"/>
              <w:keepNext w:val="0"/>
              <w:widowControl w:val="0"/>
              <w:numPr>
                <w:ilvl w:val="0"/>
                <w:numId w:val="1"/>
              </w:numPr>
            </w:pPr>
            <w:r>
              <w:t xml:space="preserve">requests for changes</w:t>
            </w:r>
          </w:p>
          <w:p>
            <w:pPr>
              <w:pStyle w:val="ListParagraph"/>
              <w:keepNext w:val="0"/>
              <w:widowControl w:val="0"/>
              <w:numPr>
                <w:ilvl w:val="0"/>
                <w:numId w:val="1"/>
              </w:numPr>
            </w:pPr>
            <w:r>
              <w:t xml:space="preserve">final responses.</w:t>
            </w:r>
          </w:p>
        </w:tc>
        <w:tc>
          <w:tcPr>
            <w:tcW w:w="2268" w:type="dxa"/>
          </w:tcPr>
          <w:p>
            <w:r>
              <w:t>Required as State archives</w:t>
            </w:r>
          </w:p>
        </w:tc>
      </w:tr>
      <w:tr>
        <w:trPr>
          <w:jc w:val="center"/>
        </w:trPr>
        <w:tc>
          <w:tcPr>
            <w:tcW w:w="992" w:type="dxa"/>
          </w:tcPr>
          <w:p>
            <w:pPr>
              <w:spacing w:after="0"/>
            </w:pPr>
            <w:r>
              <w:t>3.7.2</w:t>
            </w:r>
          </w:p>
          <w:p>
            <w:pPr>
              <w:spacing w:after="0"/>
            </w:pPr>
            <w:r>
              <w:rPr>
                <w:rStyle w:val="HiddenChar"/>
              </w:rPr>
              <w:t>COMMUNITY SUPPORT - Representations</w:t>
            </w:r>
          </w:p>
        </w:tc>
        <w:tc>
          <w:tcPr>
            <w:tcW w:w="5812" w:type="dxa"/>
          </w:tcPr>
          <w:p>
            <w:r>
              <w:t xml:space="preserve">Records relating to responses to correspondence, petitions or campaigns received by the Premier where the response is a form letter/template noting the matters raised or that the matter has been referred to the relevant Minister. Records include:</w:t>
            </w:r>
          </w:p>
          <w:p>
            <w:pPr>
              <w:pStyle w:val="ListParagraph"/>
              <w:keepNext w:val="0"/>
              <w:widowControl w:val="0"/>
              <w:numPr>
                <w:ilvl w:val="0"/>
                <w:numId w:val="1"/>
              </w:numPr>
            </w:pPr>
            <w:r>
              <w:t xml:space="preserve">copies of letters received</w:t>
            </w:r>
          </w:p>
          <w:p>
            <w:pPr>
              <w:pStyle w:val="ListParagraph"/>
              <w:keepNext w:val="0"/>
              <w:widowControl w:val="0"/>
              <w:numPr>
                <w:ilvl w:val="0"/>
                <w:numId w:val="1"/>
              </w:numPr>
            </w:pPr>
            <w:r>
              <w:t xml:space="preserve">draft responses</w:t>
            </w:r>
          </w:p>
          <w:p>
            <w:pPr>
              <w:pStyle w:val="ListParagraph"/>
              <w:keepNext w:val="0"/>
              <w:widowControl w:val="0"/>
              <w:numPr>
                <w:ilvl w:val="0"/>
                <w:numId w:val="1"/>
              </w:numPr>
            </w:pPr>
            <w:r>
              <w:t xml:space="preserve">final responses.</w:t>
            </w:r>
          </w:p>
        </w:tc>
        <w:tc>
          <w:tcPr>
            <w:tcW w:w="2268" w:type="dxa"/>
          </w:tcPr>
          <w:p>
            <w:r>
              <w:t>Retain minimum of 5 years after action completed, then destroy</w:t>
            </w:r>
          </w:p>
        </w:tc>
      </w:tr>
    </w:tbl>
    <w:p>
      <w:pPr>
        <w:pStyle w:val="Heading2"/>
        <w:spacing w:after="0"/>
      </w:pPr>
      <w:bookmarkStart w:id="7" w:name="id11"/>
      <w:r>
        <w:t xml:space="preserve">3.6.0 </w:t>
      </w:r>
      <w:r>
        <w:t>Service coordination</w:t>
      </w:r>
      <w:bookmarkEnd w:id="7"/>
    </w:p>
    <w:p>
      <w:r>
        <w:t xml:space="preserve">The processes involved in coordinating and facilitating the delivery of government services to communities in NSW. Includes regional forums and task forces convened to resolve particular issues of concern to local communities.</w:t>
      </w:r>
    </w:p>
    <w:p>
      <w:r>
        <w:t xml:space="preserve">See </w:t>
      </w:r>
      <w:r>
        <w:rPr>
          <w:b/>
        </w:rPr>
        <w:t xml:space="preserve">COMMUNITY SUPPORT </w:t>
      </w:r>
      <w:r>
        <w:rPr>
          <w:b/>
        </w:rPr>
        <w:t xml:space="preserve">- Programs </w:t>
      </w:r>
      <w:r>
        <w:t>for the development of programs</w:t>
      </w:r>
    </w:p>
    <w:p>
      <w:r>
        <w:t xml:space="preserve">See </w:t>
      </w:r>
      <w:r>
        <w:t xml:space="preserve">General Retention and Disposal Authority </w:t>
      </w:r>
      <w:r>
        <w:rPr>
          <w:i/>
        </w:rPr>
        <w:t xml:space="preserve">Administrative records </w:t>
      </w:r>
      <w:r>
        <w:rPr>
          <w:b/>
        </w:rPr>
        <w:t xml:space="preserve">COMMITTEES </w:t>
      </w:r>
      <w:r>
        <w:t>for records relating to project committees or task forces coordinated by other government agencies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3.6.1</w:t>
            </w:r>
          </w:p>
          <w:p>
            <w:pPr>
              <w:spacing w:after="0"/>
            </w:pPr>
            <w:r>
              <w:rPr>
                <w:rStyle w:val="HiddenChar"/>
              </w:rPr>
              <w:t>COMMUNITY SUPPORT - Service coordination</w:t>
            </w:r>
          </w:p>
        </w:tc>
        <w:tc>
          <w:tcPr>
            <w:tcW w:w="5812" w:type="dxa"/>
          </w:tcPr>
          <w:p>
            <w:r>
              <w:t xml:space="preserve">Records relating to projects initiated to resolve issues associated with local service delivery or local problems requiring interagency coordination where the organisation is the lead agency, NSW representative or has secretariat responsibility. Includes records of meetings of groups, committees, etc established or convened to coordinate activities, including records of associated correspondence and business arising, records of forums and meetings held with other agencies and/or community representatives relating to the issue or project, agreements or memoranda of understanding with other organisations, agencies, community groups, etc concerning coordination or implementation of the project, project action plans, reports and issues papers relating to the project, its progress, outcomes etc.</w:t>
            </w:r>
          </w:p>
        </w:tc>
        <w:tc>
          <w:tcPr>
            <w:tcW w:w="2268" w:type="dxa"/>
          </w:tcPr>
          <w:p>
            <w:r>
              <w:t>Required as State archives</w:t>
            </w:r>
          </w:p>
        </w:tc>
      </w:tr>
      <w:tr>
        <w:trPr>
          <w:jc w:val="center"/>
        </w:trPr>
        <w:tc>
          <w:tcPr>
            <w:tcW w:w="992" w:type="dxa"/>
          </w:tcPr>
          <w:p>
            <w:pPr>
              <w:spacing w:after="0"/>
            </w:pPr>
            <w:r>
              <w:t>3.6.2</w:t>
            </w:r>
          </w:p>
          <w:p>
            <w:pPr>
              <w:spacing w:after="0"/>
            </w:pPr>
            <w:r>
              <w:rPr>
                <w:rStyle w:val="HiddenChar"/>
              </w:rPr>
              <w:t>COMMUNITY SUPPORT - Service coordination</w:t>
            </w:r>
          </w:p>
        </w:tc>
        <w:tc>
          <w:tcPr>
            <w:tcW w:w="5812" w:type="dxa"/>
          </w:tcPr>
          <w:p>
            <w:r>
              <w:t xml:space="preserve">Records relating to the provision of advice and reports to the Premier on interagency projects initiated to resolve issues associated with local service delivery or local problems where the organisation is not the lead or primary coordinating agency. </w:t>
            </w:r>
          </w:p>
        </w:tc>
        <w:tc>
          <w:tcPr>
            <w:tcW w:w="2268" w:type="dxa"/>
          </w:tcPr>
          <w:p>
            <w:r>
              <w:t>Required as State archives</w:t>
            </w:r>
          </w:p>
        </w:tc>
      </w:tr>
    </w:tbl>
    <w:p>
      <w:pPr>
        <w:pStyle w:val="Heading1"/>
        <w:pageBreakBefore/>
        <w:spacing w:after="0"/>
      </w:pPr>
      <w:bookmarkStart w:id="4" w:name="id12"/>
      <w:r>
        <w:t xml:space="preserve">4.0.0 </w:t>
      </w:r>
      <w:r>
        <w:t>EMERGENCY MANAGEMENT</w:t>
      </w:r>
      <w:bookmarkEnd w:id="4"/>
    </w:p>
    <w:p>
      <w:r>
        <w:t xml:space="preserve">The function of preparing for and responding to natural disasters, security threats, terrorism and other emergencies within the State. This includes co-ordination and support of emergency services organisations as well as the analysis, co-ordination and development of policies, procedures and guidelines.</w:t>
      </w:r>
    </w:p>
    <w:p>
      <w:pPr>
        <w:pStyle w:val="Heading2"/>
        <w:spacing w:after="0"/>
      </w:pPr>
      <w:bookmarkStart w:id="1" w:name="id13"/>
      <w:r>
        <w:t xml:space="preserve">4.1.0 </w:t>
      </w:r>
      <w:r>
        <w:t>Advice</w:t>
      </w:r>
      <w:bookmarkEnd w:id="1"/>
    </w:p>
    <w:p>
      <w:r>
        <w:t xml:space="preserve">The activities associated with offering opinions by or to the organisation as to an action or judgment. Includes the process of advising.</w:t>
      </w:r>
    </w:p>
    <w:p>
      <w:r>
        <w:t xml:space="preserve">See </w:t>
      </w:r>
      <w:r>
        <w:rPr>
          <w:b/>
        </w:rPr>
        <w:t xml:space="preserve">EMERGENCY MANAGEMENT </w:t>
      </w:r>
      <w:r>
        <w:rPr>
          <w:b/>
        </w:rPr>
        <w:t xml:space="preserve">- Emergency and disaster response </w:t>
      </w:r>
      <w:r>
        <w:t>for records relating to post emergency event de-briefing and analysis</w:t>
      </w:r>
    </w:p>
    <w:p>
      <w:r>
        <w:t xml:space="preserve">See </w:t>
      </w:r>
      <w:r>
        <w:rPr>
          <w:b/>
        </w:rPr>
        <w:t xml:space="preserve">EMERGENCY MANAGEMENT </w:t>
      </w:r>
      <w:r>
        <w:rPr>
          <w:b/>
        </w:rPr>
        <w:t xml:space="preserve">- Reviewing </w:t>
      </w:r>
      <w:r>
        <w:t>for records relating to advice associated with reviews of programs and operations</w:t>
      </w:r>
    </w:p>
    <w:p>
      <w:r>
        <w:t xml:space="preserve">See </w:t>
      </w:r>
      <w:r>
        <w:t xml:space="preserve">General Retention and Disposal Authority </w:t>
      </w:r>
      <w:r>
        <w:rPr>
          <w:i/>
        </w:rPr>
        <w:t xml:space="preserve">Administrative records </w:t>
      </w:r>
      <w:r>
        <w:rPr>
          <w:b/>
        </w:rPr>
        <w:t xml:space="preserve">COMMITTEES </w:t>
      </w:r>
      <w:r>
        <w:t>for records relating to representation on interagency and national committees.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4.1.1</w:t>
            </w:r>
          </w:p>
          <w:p>
            <w:pPr>
              <w:spacing w:after="0"/>
            </w:pPr>
            <w:r>
              <w:rPr>
                <w:rStyle w:val="HiddenChar"/>
              </w:rPr>
              <w:t>EMERGENCY MANAGEMENT - Advice</w:t>
            </w:r>
          </w:p>
        </w:tc>
        <w:tc>
          <w:tcPr>
            <w:tcW w:w="5812" w:type="dxa"/>
          </w:tcPr>
          <w:p>
            <w:r>
              <w:t xml:space="preserve">Records relating to the formulation and provision of advice on security and emergency management issues. This may include advice provided to the Premier, Cabinet, heads of agencies, interagency and inter government committees, non-government organisations or the private sector. Records include:</w:t>
            </w:r>
          </w:p>
          <w:p>
            <w:pPr>
              <w:pStyle w:val="ListParagraph"/>
              <w:keepNext w:val="0"/>
              <w:widowControl w:val="0"/>
              <w:numPr>
                <w:ilvl w:val="0"/>
                <w:numId w:val="1"/>
              </w:numPr>
            </w:pPr>
            <w:r>
              <w:t xml:space="preserve">briefing notes</w:t>
            </w:r>
          </w:p>
          <w:p>
            <w:pPr>
              <w:pStyle w:val="ListParagraph"/>
              <w:keepNext w:val="0"/>
              <w:widowControl w:val="0"/>
              <w:numPr>
                <w:ilvl w:val="0"/>
                <w:numId w:val="1"/>
              </w:numPr>
            </w:pPr>
            <w:r>
              <w:t xml:space="preserve">minutes</w:t>
            </w:r>
          </w:p>
          <w:p>
            <w:pPr>
              <w:pStyle w:val="ListParagraph"/>
              <w:keepNext w:val="0"/>
              <w:widowControl w:val="0"/>
              <w:numPr>
                <w:ilvl w:val="0"/>
                <w:numId w:val="1"/>
              </w:numPr>
            </w:pPr>
            <w:r>
              <w:t xml:space="preserve">reports</w:t>
            </w:r>
          </w:p>
          <w:p>
            <w:pPr>
              <w:pStyle w:val="ListParagraph"/>
              <w:keepNext w:val="0"/>
              <w:widowControl w:val="0"/>
              <w:numPr>
                <w:ilvl w:val="0"/>
                <w:numId w:val="1"/>
              </w:numPr>
            </w:pPr>
            <w:r>
              <w:t xml:space="preserve">correspondence, and </w:t>
            </w:r>
          </w:p>
          <w:p>
            <w:pPr>
              <w:pStyle w:val="ListParagraph"/>
              <w:keepNext w:val="0"/>
              <w:widowControl w:val="0"/>
              <w:numPr>
                <w:ilvl w:val="0"/>
                <w:numId w:val="1"/>
              </w:numPr>
            </w:pPr>
            <w:r>
              <w:t xml:space="preserve">associated source data supporting the advice.</w:t>
            </w:r>
          </w:p>
        </w:tc>
        <w:tc>
          <w:tcPr>
            <w:tcW w:w="2268" w:type="dxa"/>
          </w:tcPr>
          <w:p>
            <w:r>
              <w:t>Required as State archives</w:t>
            </w:r>
          </w:p>
        </w:tc>
      </w:tr>
    </w:tbl>
    <w:p>
      <w:pPr>
        <w:pStyle w:val="Heading2"/>
        <w:spacing w:after="0"/>
      </w:pPr>
      <w:bookmarkStart w:id="2" w:name="id14"/>
      <w:r>
        <w:t xml:space="preserve">4.2.0 </w:t>
      </w:r>
      <w:r>
        <w:t>Community Liaison</w:t>
      </w:r>
      <w:bookmarkEnd w:id="2"/>
    </w:p>
    <w:p>
      <w:r>
        <w:t xml:space="preserve">The activities associated with maintaining regular general contact between the Government, community groups, the private sector etc. concerning security and emergency management.</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4.2.1</w:t>
            </w:r>
          </w:p>
          <w:p>
            <w:pPr>
              <w:spacing w:after="0"/>
            </w:pPr>
            <w:r>
              <w:rPr>
                <w:rStyle w:val="HiddenChar"/>
              </w:rPr>
              <w:t>EMERGENCY MANAGEMENT - Community Liaison</w:t>
            </w:r>
          </w:p>
        </w:tc>
        <w:tc>
          <w:tcPr>
            <w:tcW w:w="5812" w:type="dxa"/>
          </w:tcPr>
          <w:p>
            <w:r>
              <w:t xml:space="preserve">Records of liaison and meetings with community leaders and representatives of community groups to discuss matters or issues relating to the management or minimisation of security risks.</w:t>
            </w:r>
          </w:p>
        </w:tc>
        <w:tc>
          <w:tcPr>
            <w:tcW w:w="2268" w:type="dxa"/>
          </w:tcPr>
          <w:p>
            <w:r>
              <w:t>Required as State archives</w:t>
            </w:r>
          </w:p>
        </w:tc>
      </w:tr>
      <w:tr>
        <w:trPr>
          <w:jc w:val="center"/>
        </w:trPr>
        <w:tc>
          <w:tcPr>
            <w:tcW w:w="992" w:type="dxa"/>
          </w:tcPr>
          <w:p>
            <w:pPr>
              <w:spacing w:after="0"/>
            </w:pPr>
            <w:r>
              <w:t>4.2.2</w:t>
            </w:r>
          </w:p>
          <w:p>
            <w:pPr>
              <w:spacing w:after="0"/>
            </w:pPr>
            <w:r>
              <w:rPr>
                <w:rStyle w:val="HiddenChar"/>
              </w:rPr>
              <w:t>EMERGENCY MANAGEMENT - Community Liaison</w:t>
            </w:r>
          </w:p>
        </w:tc>
        <w:tc>
          <w:tcPr>
            <w:tcW w:w="5812" w:type="dxa"/>
          </w:tcPr>
          <w:p>
            <w:r>
              <w:t xml:space="preserve">Records relating to general liaison and information exchange with community groups concerning security or emergency management arrangements or initiatives.</w:t>
            </w:r>
          </w:p>
        </w:tc>
        <w:tc>
          <w:tcPr>
            <w:tcW w:w="2268" w:type="dxa"/>
          </w:tcPr>
          <w:p>
            <w:r>
              <w:t>Retain minimum of 5 years after action completed, then destroy</w:t>
            </w:r>
          </w:p>
        </w:tc>
      </w:tr>
    </w:tbl>
    <w:p>
      <w:pPr>
        <w:pStyle w:val="Heading2"/>
        <w:spacing w:after="0"/>
      </w:pPr>
      <w:bookmarkStart w:id="3" w:name="id15"/>
      <w:r>
        <w:t xml:space="preserve">4.3.0 </w:t>
      </w:r>
      <w:r>
        <w:t>Emergency and disaster response</w:t>
      </w:r>
      <w:bookmarkEnd w:id="3"/>
    </w:p>
    <w:p>
      <w:r>
        <w:t xml:space="preserve">The activities associated with the response to emergencies arising from acts of terrorism, natural disasters and other incidents.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4.3.1</w:t>
            </w:r>
          </w:p>
          <w:p>
            <w:pPr>
              <w:spacing w:after="0"/>
            </w:pPr>
            <w:r>
              <w:rPr>
                <w:rStyle w:val="HiddenChar"/>
              </w:rPr>
              <w:t>EMERGENCY MANAGEMENT - Emergency and disaster response</w:t>
            </w:r>
          </w:p>
        </w:tc>
        <w:tc>
          <w:tcPr>
            <w:tcW w:w="5812" w:type="dxa"/>
          </w:tcPr>
          <w:p>
            <w:r>
              <w:t xml:space="preserve">Records relating to the response to emergencies, natural disasters or incidents that have a significant impact on the State or a particular region or locality and its residents. This includes emergencies, natural disasters or incidents that are declared State emergencies or disasters, that result in major loss of life, injury or damage to property or that have a notable impact e.g. there is formal inquiry into the emergency either in relation to its causes or handling, the emergency results in substantial changes to legislation or government policy, the emergency was the result of a terrorist act or deliberate attempt or act of sabotage against the government. Records include activation and operation of the State crisis centre, liaison with police, emergency services and other State, local and Commonwealth Government and their agencies, de-briefing provided during and after the emergency, reviews of the response and recommendations for future action such as improvements in response times, coordination of services or intelligence gathering/information requirements etc.</w:t>
            </w:r>
          </w:p>
        </w:tc>
        <w:tc>
          <w:tcPr>
            <w:tcW w:w="2268" w:type="dxa"/>
          </w:tcPr>
          <w:p>
            <w:r>
              <w:t>Required as State archives</w:t>
            </w:r>
          </w:p>
        </w:tc>
      </w:tr>
      <w:tr>
        <w:trPr>
          <w:jc w:val="center"/>
        </w:trPr>
        <w:tc>
          <w:tcPr>
            <w:tcW w:w="992" w:type="dxa"/>
          </w:tcPr>
          <w:p>
            <w:pPr>
              <w:spacing w:after="0"/>
            </w:pPr>
            <w:r>
              <w:t>4.3.2</w:t>
            </w:r>
          </w:p>
          <w:p>
            <w:pPr>
              <w:spacing w:after="0"/>
            </w:pPr>
            <w:r>
              <w:rPr>
                <w:rStyle w:val="HiddenChar"/>
              </w:rPr>
              <w:t>EMERGENCY MANAGEMENT - Emergency and disaster response</w:t>
            </w:r>
          </w:p>
        </w:tc>
        <w:tc>
          <w:tcPr>
            <w:tcW w:w="5812" w:type="dxa"/>
          </w:tcPr>
          <w:p>
            <w:r>
              <w:t xml:space="preserve">Records relating to the response to emergency incidents that have a limited impact on persons or property (i.e. do not involve significant loss of life or major injury or damage to property within the State or a particular region or locality or do not have major policy/legislative impact). Records include liaison with police, emergency services and other State, local and Commonwealth Government and their agencies, de-briefing provided during and after the emergency, reviews of the response and recommendations for future action.</w:t>
            </w:r>
          </w:p>
        </w:tc>
        <w:tc>
          <w:tcPr>
            <w:tcW w:w="2268" w:type="dxa"/>
          </w:tcPr>
          <w:p>
            <w:r>
              <w:t>Retain minimum of 10 years after action completed, then destroy</w:t>
            </w:r>
          </w:p>
        </w:tc>
      </w:tr>
      <w:tr>
        <w:trPr>
          <w:jc w:val="center"/>
        </w:trPr>
        <w:tc>
          <w:tcPr>
            <w:tcW w:w="992" w:type="dxa"/>
          </w:tcPr>
          <w:p>
            <w:pPr>
              <w:spacing w:after="0"/>
            </w:pPr>
            <w:r>
              <w:t>4.3.3</w:t>
            </w:r>
          </w:p>
          <w:p>
            <w:pPr>
              <w:spacing w:after="0"/>
            </w:pPr>
            <w:r>
              <w:rPr>
                <w:rStyle w:val="HiddenChar"/>
              </w:rPr>
              <w:t>EMERGENCY MANAGEMENT - Emergency and disaster response</w:t>
            </w:r>
          </w:p>
        </w:tc>
        <w:tc>
          <w:tcPr>
            <w:tcW w:w="5812" w:type="dxa"/>
          </w:tcPr>
          <w:p>
            <w:r>
              <w:t xml:space="preserve">Records relating to pro-active incident, emergency or crisis response coordination and planning for major events (such as World Youth Day and Asia-Pacific Economic Cooperation (APEC)), that are incident free or where incidents are minor. Includes debriefings, reviews and recommendations for the management of future events.</w:t>
            </w:r>
          </w:p>
        </w:tc>
        <w:tc>
          <w:tcPr>
            <w:tcW w:w="2268" w:type="dxa"/>
          </w:tcPr>
          <w:p>
            <w:r>
              <w:t>Required as State archives</w:t>
            </w:r>
          </w:p>
        </w:tc>
      </w:tr>
      <w:tr>
        <w:trPr>
          <w:jc w:val="center"/>
        </w:trPr>
        <w:tc>
          <w:tcPr>
            <w:tcW w:w="992" w:type="dxa"/>
          </w:tcPr>
          <w:p>
            <w:pPr>
              <w:spacing w:after="0"/>
            </w:pPr>
            <w:r>
              <w:t>4.3.4</w:t>
            </w:r>
          </w:p>
          <w:p>
            <w:pPr>
              <w:spacing w:after="0"/>
            </w:pPr>
            <w:r>
              <w:rPr>
                <w:rStyle w:val="HiddenChar"/>
              </w:rPr>
              <w:t>EMERGENCY MANAGEMENT - Emergency and disaster response</w:t>
            </w:r>
          </w:p>
        </w:tc>
        <w:tc>
          <w:tcPr>
            <w:tcW w:w="5812" w:type="dxa"/>
          </w:tcPr>
          <w:p>
            <w:r>
              <w:t xml:space="preserve">Records relating to routine correspondence, enquiries and information about emergency arrangements.</w:t>
            </w:r>
          </w:p>
        </w:tc>
        <w:tc>
          <w:tcPr>
            <w:tcW w:w="2268" w:type="dxa"/>
          </w:tcPr>
          <w:p>
            <w:r>
              <w:t>Retain minimum of 7 years after action completed, then destroy</w:t>
            </w:r>
          </w:p>
        </w:tc>
      </w:tr>
    </w:tbl>
    <w:p>
      <w:pPr>
        <w:pStyle w:val="Heading2"/>
        <w:spacing w:after="0"/>
      </w:pPr>
      <w:bookmarkStart w:id="4" w:name="id16"/>
      <w:r>
        <w:t xml:space="preserve">4.4.0 </w:t>
      </w:r>
      <w:r>
        <w:t>Exercises &amp; training</w:t>
      </w:r>
      <w:bookmarkEnd w:id="4"/>
    </w:p>
    <w:p>
      <w:r>
        <w:t xml:space="preserve">The activities associated with State and interjurisdictional exercises to test preparedness to respond to and recover from emergencies arising from act of terrorism, natural disasters and other incidents.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4.4.1</w:t>
            </w:r>
          </w:p>
          <w:p>
            <w:pPr>
              <w:spacing w:after="0"/>
            </w:pPr>
            <w:r>
              <w:rPr>
                <w:rStyle w:val="HiddenChar"/>
              </w:rPr>
              <w:t>EMERGENCY MANAGEMENT - Exercises &amp; training</w:t>
            </w:r>
          </w:p>
        </w:tc>
        <w:tc>
          <w:tcPr>
            <w:tcW w:w="5812" w:type="dxa"/>
          </w:tcPr>
          <w:p>
            <w:r>
              <w:t xml:space="preserve">Records relating to the conduct of the exercises to test preparedness for emergencies or security incidents. Includes records relating to the establishment of exercises, invitations to participate in exercises, staffing arrangements, the use and supply of equipment, handbooks, training documentation, the umpiring of exercises in other jurisdictions.</w:t>
            </w:r>
          </w:p>
        </w:tc>
        <w:tc>
          <w:tcPr>
            <w:tcW w:w="2268" w:type="dxa"/>
          </w:tcPr>
          <w:p>
            <w:r>
              <w:t>Retain minimum of 7 years after action completed, then destroy</w:t>
            </w:r>
          </w:p>
        </w:tc>
      </w:tr>
    </w:tbl>
    <w:p>
      <w:pPr>
        <w:pStyle w:val="Heading2"/>
        <w:spacing w:after="0"/>
      </w:pPr>
      <w:bookmarkStart w:id="5" w:name="id17"/>
      <w:r>
        <w:t xml:space="preserve">4.5.0 </w:t>
      </w:r>
      <w:r>
        <w:t>Implementation</w:t>
      </w:r>
      <w:bookmarkEnd w:id="5"/>
    </w:p>
    <w:p>
      <w:r>
        <w:t xml:space="preserve">The activities associated with carrying out or putting into action, plans, policies, procedures or instructions.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4.5.1</w:t>
            </w:r>
          </w:p>
          <w:p>
            <w:pPr>
              <w:spacing w:after="0"/>
            </w:pPr>
            <w:r>
              <w:rPr>
                <w:rStyle w:val="HiddenChar"/>
              </w:rPr>
              <w:t>EMERGENCY MANAGEMENT - Implementation</w:t>
            </w:r>
          </w:p>
        </w:tc>
        <w:tc>
          <w:tcPr>
            <w:tcW w:w="5812" w:type="dxa"/>
          </w:tcPr>
          <w:p>
            <w:r>
              <w:t xml:space="preserve">Records relating to the implementation of recommendations from formal Inquiries into an emergency incident e.g. in relation to its causes or handling.</w:t>
            </w:r>
          </w:p>
        </w:tc>
        <w:tc>
          <w:tcPr>
            <w:tcW w:w="2268" w:type="dxa"/>
          </w:tcPr>
          <w:p>
            <w:r>
              <w:t>Required as State archives</w:t>
            </w:r>
          </w:p>
        </w:tc>
      </w:tr>
    </w:tbl>
    <w:p>
      <w:pPr>
        <w:pStyle w:val="Heading2"/>
        <w:spacing w:after="0"/>
      </w:pPr>
      <w:bookmarkStart w:id="6" w:name="id18"/>
      <w:r>
        <w:t xml:space="preserve">4.6.0 </w:t>
      </w:r>
      <w:r>
        <w:t>Media &amp; Public Information Campaigns</w:t>
      </w:r>
      <w:bookmarkEnd w:id="6"/>
    </w:p>
    <w:p>
      <w:r>
        <w:t xml:space="preserve">Information campaigns designed to disseminate the Government's message in relation to national and State security.</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4.6.1</w:t>
            </w:r>
          </w:p>
          <w:p>
            <w:pPr>
              <w:spacing w:after="0"/>
            </w:pPr>
            <w:r>
              <w:rPr>
                <w:rStyle w:val="HiddenChar"/>
              </w:rPr>
              <w:t>EMERGENCY MANAGEMENT - Media &amp; Public Information Campaigns</w:t>
            </w:r>
          </w:p>
        </w:tc>
        <w:tc>
          <w:tcPr>
            <w:tcW w:w="5812" w:type="dxa"/>
          </w:tcPr>
          <w:p>
            <w:r>
              <w:t xml:space="preserve">Records relating to media and public information campaigns to promote counter-terrorism and security awareness among the general community. Includes campaigns planned as part of national information campaigns. Records include project briefs, project plans, approved drafts, proofs of posters, leaflets and web sites, campaign launches etc.</w:t>
            </w:r>
          </w:p>
        </w:tc>
        <w:tc>
          <w:tcPr>
            <w:tcW w:w="2268" w:type="dxa"/>
          </w:tcPr>
          <w:p>
            <w:r>
              <w:t>Required as State archives</w:t>
            </w:r>
          </w:p>
        </w:tc>
      </w:tr>
    </w:tbl>
    <w:p>
      <w:pPr>
        <w:pStyle w:val="Heading2"/>
        <w:spacing w:after="0"/>
      </w:pPr>
      <w:bookmarkStart w:id="7" w:name="id19"/>
      <w:r>
        <w:t xml:space="preserve">4.7.0 </w:t>
      </w:r>
      <w:r>
        <w:t>Planning</w:t>
      </w:r>
      <w:bookmarkEnd w:id="7"/>
    </w:p>
    <w:p>
      <w:r>
        <w:t xml:space="preserve">The process of formulating ways in which objectives can be achieved. Includes determination of services, needs and solutions to those needs.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4.7.1</w:t>
            </w:r>
          </w:p>
          <w:p>
            <w:pPr>
              <w:spacing w:after="0"/>
            </w:pPr>
            <w:r>
              <w:rPr>
                <w:rStyle w:val="HiddenChar"/>
              </w:rPr>
              <w:t>EMERGENCY MANAGEMENT - Planning</w:t>
            </w:r>
          </w:p>
        </w:tc>
        <w:tc>
          <w:tcPr>
            <w:tcW w:w="5812" w:type="dxa"/>
          </w:tcPr>
          <w:p>
            <w:r>
              <w:t xml:space="preserve">Records relating to the formulation and development of plans and strategic initiatives for emergency, security or disaster preparedness and response within the State where the agency has a major input into planning processes. Records include planning or project proposals and approvals, background research, draft versions of plans containing significant changes/alterations or formally circulated for comment, notes of meetings or reports analysing issues and the outcomes of consultation with stakeholders etc.</w:t>
            </w:r>
          </w:p>
        </w:tc>
        <w:tc>
          <w:tcPr>
            <w:tcW w:w="2268" w:type="dxa"/>
          </w:tcPr>
          <w:p>
            <w:r>
              <w:t>Required as State archives</w:t>
            </w:r>
          </w:p>
        </w:tc>
      </w:tr>
      <w:tr>
        <w:trPr>
          <w:jc w:val="center"/>
        </w:trPr>
        <w:tc>
          <w:tcPr>
            <w:tcW w:w="992" w:type="dxa"/>
          </w:tcPr>
          <w:p>
            <w:pPr>
              <w:spacing w:after="0"/>
            </w:pPr>
            <w:r>
              <w:t>4.7.2</w:t>
            </w:r>
          </w:p>
          <w:p>
            <w:pPr>
              <w:spacing w:after="0"/>
            </w:pPr>
            <w:r>
              <w:rPr>
                <w:rStyle w:val="HiddenChar"/>
              </w:rPr>
              <w:t>EMERGENCY MANAGEMENT - Planning</w:t>
            </w:r>
          </w:p>
        </w:tc>
        <w:tc>
          <w:tcPr>
            <w:tcW w:w="5812" w:type="dxa"/>
          </w:tcPr>
          <w:p>
            <w:r>
              <w:t xml:space="preserve">Records relating to the formulation and development of plans and strategic initiatives for emergency, security or disaster preparedness and response within the State where the agency has no or only minor input into planning processes. Records include draft versions of plans or reports received for comment or information purposes.</w:t>
            </w:r>
          </w:p>
        </w:tc>
        <w:tc>
          <w:tcPr>
            <w:tcW w:w="2268" w:type="dxa"/>
          </w:tcPr>
          <w:p>
            <w:r>
              <w:t>Retain minimum of 5 years after action completed, then destroy</w:t>
            </w:r>
          </w:p>
        </w:tc>
      </w:tr>
      <w:tr>
        <w:trPr>
          <w:jc w:val="center"/>
        </w:trPr>
        <w:tc>
          <w:tcPr>
            <w:tcW w:w="992" w:type="dxa"/>
          </w:tcPr>
          <w:p>
            <w:pPr>
              <w:spacing w:after="0"/>
            </w:pPr>
            <w:r>
              <w:t>4.7.3</w:t>
            </w:r>
          </w:p>
          <w:p>
            <w:pPr>
              <w:spacing w:after="0"/>
            </w:pPr>
            <w:r>
              <w:rPr>
                <w:rStyle w:val="HiddenChar"/>
              </w:rPr>
              <w:t>EMERGENCY MANAGEMENT - Planning</w:t>
            </w:r>
          </w:p>
        </w:tc>
        <w:tc>
          <w:tcPr>
            <w:tcW w:w="5812" w:type="dxa"/>
          </w:tcPr>
          <w:p>
            <w:r>
              <w:t xml:space="preserve">Records relating to planning for the protection of current and former New South Wales office holders. Records include manuals, risk assessments of office holders, risk plans and risk escalation plans in the event of an incident.</w:t>
            </w:r>
          </w:p>
        </w:tc>
        <w:tc>
          <w:tcPr>
            <w:tcW w:w="2268" w:type="dxa"/>
          </w:tcPr>
          <w:p>
            <w:r>
              <w:t>Required as State archives</w:t>
            </w:r>
          </w:p>
        </w:tc>
      </w:tr>
    </w:tbl>
    <w:p>
      <w:pPr>
        <w:pStyle w:val="Heading2"/>
        <w:spacing w:after="0"/>
      </w:pPr>
      <w:bookmarkStart w:id="8" w:name="id20"/>
      <w:r>
        <w:t xml:space="preserve">4.8.0 </w:t>
      </w:r>
      <w:r>
        <w:t>Policy</w:t>
      </w:r>
      <w:bookmarkEnd w:id="8"/>
    </w:p>
    <w:p>
      <w:r>
        <w:t xml:space="preserve">The activities associated with developing and establishing decisions, directions and precedents which act as a reference for future decision making, as the basis from which the organisation's operating procedures are determined.</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4.8.1</w:t>
            </w:r>
          </w:p>
          <w:p>
            <w:pPr>
              <w:spacing w:after="0"/>
            </w:pPr>
            <w:r>
              <w:rPr>
                <w:rStyle w:val="HiddenChar"/>
              </w:rPr>
              <w:t>EMERGENCY MANAGEMENT - Policy</w:t>
            </w:r>
          </w:p>
        </w:tc>
        <w:tc>
          <w:tcPr>
            <w:tcW w:w="5812" w:type="dxa"/>
          </w:tcPr>
          <w:p>
            <w:r>
              <w:t xml:space="preserve">Records relating to the policy coordination of the Government's response to terrorism events and threats. Records include policy proposals, background research, records of consultations, draft versions of policies containing significant changes/alterations or formally circulated for comment, reports analysing issues and the outcomes of consultation with stakeholders.</w:t>
            </w:r>
          </w:p>
        </w:tc>
        <w:tc>
          <w:tcPr>
            <w:tcW w:w="2268" w:type="dxa"/>
          </w:tcPr>
          <w:p>
            <w:r>
              <w:t>Required as State archives</w:t>
            </w:r>
          </w:p>
        </w:tc>
      </w:tr>
    </w:tbl>
    <w:p>
      <w:pPr>
        <w:pStyle w:val="Heading2"/>
        <w:spacing w:after="0"/>
      </w:pPr>
      <w:bookmarkStart w:id="9" w:name="id21"/>
      <w:r>
        <w:t xml:space="preserve">4.9.0 </w:t>
      </w:r>
      <w:r>
        <w:t>Procedures</w:t>
      </w:r>
      <w:bookmarkEnd w:id="9"/>
    </w:p>
    <w:p>
      <w:r>
        <w:t xml:space="preserve">Standard methods of operating laid down by an organisation according to formulated policies.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4.9.1</w:t>
            </w:r>
          </w:p>
          <w:p>
            <w:pPr>
              <w:spacing w:after="0"/>
            </w:pPr>
            <w:r>
              <w:rPr>
                <w:rStyle w:val="HiddenChar"/>
              </w:rPr>
              <w:t>EMERGENCY MANAGEMENT - Procedures</w:t>
            </w:r>
          </w:p>
        </w:tc>
        <w:tc>
          <w:tcPr>
            <w:tcW w:w="5812" w:type="dxa"/>
          </w:tcPr>
          <w:p>
            <w:r>
              <w:t xml:space="preserve">Records relating to the development of procedures governing counter-terrorism response for NSW Government agencies. Includes input into national procedures, manuals or handbook (such as the national Counter-terrorism handbook). Records include background research, draft versions of procedures containing significant changes/alterations or formally circulated for comment, reports analysing issues and the outcomes of consultation with stakeholders.</w:t>
            </w:r>
          </w:p>
        </w:tc>
        <w:tc>
          <w:tcPr>
            <w:tcW w:w="2268" w:type="dxa"/>
          </w:tcPr>
          <w:p>
            <w:r>
              <w:t>Required as State archives</w:t>
            </w:r>
          </w:p>
        </w:tc>
      </w:tr>
      <w:tr>
        <w:trPr>
          <w:jc w:val="center"/>
        </w:trPr>
        <w:tc>
          <w:tcPr>
            <w:tcW w:w="992" w:type="dxa"/>
          </w:tcPr>
          <w:p>
            <w:pPr>
              <w:spacing w:after="0"/>
            </w:pPr>
            <w:r>
              <w:t>4.9.2</w:t>
            </w:r>
          </w:p>
          <w:p>
            <w:pPr>
              <w:spacing w:after="0"/>
            </w:pPr>
            <w:r>
              <w:rPr>
                <w:rStyle w:val="HiddenChar"/>
              </w:rPr>
              <w:t>EMERGENCY MANAGEMENT - Procedures</w:t>
            </w:r>
          </w:p>
        </w:tc>
        <w:tc>
          <w:tcPr>
            <w:tcW w:w="5812" w:type="dxa"/>
          </w:tcPr>
          <w:p>
            <w:r>
              <w:t xml:space="preserve">Records relating to the development of counter-terrorism training manuals and instructional material for use in the NSW Government.</w:t>
            </w:r>
          </w:p>
        </w:tc>
        <w:tc>
          <w:tcPr>
            <w:tcW w:w="2268" w:type="dxa"/>
          </w:tcPr>
          <w:p>
            <w:r>
              <w:t>Retain minimum of 5 years after action completed, then destroy</w:t>
            </w:r>
          </w:p>
        </w:tc>
      </w:tr>
    </w:tbl>
    <w:p>
      <w:pPr>
        <w:pStyle w:val="Heading2"/>
        <w:spacing w:after="0"/>
      </w:pPr>
      <w:bookmarkStart w:id="10" w:name="id22"/>
      <w:r>
        <w:t xml:space="preserve">4.10.0 </w:t>
      </w:r>
      <w:r>
        <w:t>Programs</w:t>
      </w:r>
      <w:bookmarkEnd w:id="10"/>
    </w:p>
    <w:p>
      <w:r>
        <w:t xml:space="preserve">The process of managing a set of procedures, activities, resources, related projects and/or management strategies that are usually ongoing.</w:t>
      </w:r>
    </w:p>
    <w:p>
      <w:r>
        <w:t xml:space="preserve">See </w:t>
      </w:r>
      <w:r>
        <w:rPr>
          <w:b/>
        </w:rPr>
        <w:t xml:space="preserve">EMERGENCY MANAGEMENT </w:t>
      </w:r>
      <w:r>
        <w:rPr>
          <w:b/>
        </w:rPr>
        <w:t xml:space="preserve">- Reviewing </w:t>
      </w:r>
      <w:r>
        <w:t>for records relating to reviews of programs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4.10.1</w:t>
            </w:r>
          </w:p>
          <w:p>
            <w:pPr>
              <w:spacing w:after="0"/>
            </w:pPr>
            <w:r>
              <w:rPr>
                <w:rStyle w:val="HiddenChar"/>
              </w:rPr>
              <w:t>EMERGENCY MANAGEMENT - Programs</w:t>
            </w:r>
          </w:p>
        </w:tc>
        <w:tc>
          <w:tcPr>
            <w:tcW w:w="5812" w:type="dxa"/>
          </w:tcPr>
          <w:p>
            <w:r>
              <w:t xml:space="preserve">Records relating to development of programs for supporting or coordinating emergency, security or disaster preparedness and response within the State where the agency has a major input into or responsibility for the program. Includes training programs developed for NSW Government agencies. Records include background research, draft versions of reports containing substantial changes/alterations or formally circulated for comment, final, approved versions of proposals concerning changes, the outcomes of meetings with program stakeholders etc.</w:t>
            </w:r>
          </w:p>
        </w:tc>
        <w:tc>
          <w:tcPr>
            <w:tcW w:w="2268" w:type="dxa"/>
          </w:tcPr>
          <w:p>
            <w:r>
              <w:t>Required as State archives</w:t>
            </w:r>
          </w:p>
        </w:tc>
      </w:tr>
      <w:tr>
        <w:trPr>
          <w:jc w:val="center"/>
        </w:trPr>
        <w:tc>
          <w:tcPr>
            <w:tcW w:w="992" w:type="dxa"/>
          </w:tcPr>
          <w:p>
            <w:pPr>
              <w:spacing w:after="0"/>
            </w:pPr>
            <w:r>
              <w:t>4.10.2</w:t>
            </w:r>
          </w:p>
          <w:p>
            <w:pPr>
              <w:spacing w:after="0"/>
            </w:pPr>
            <w:r>
              <w:rPr>
                <w:rStyle w:val="HiddenChar"/>
              </w:rPr>
              <w:t>EMERGENCY MANAGEMENT - Programs</w:t>
            </w:r>
          </w:p>
        </w:tc>
        <w:tc>
          <w:tcPr>
            <w:tcW w:w="5812" w:type="dxa"/>
          </w:tcPr>
          <w:p>
            <w:r>
              <w:t xml:space="preserve">Records relating to development of programs for supporting or coordinating emergency, security or disaster preparedness and response within the State where the agency plays a non-significant role or they are Commonwealth run programs. Records include background research, draft versions of programs containing significant changes/alterations or formally circulated for comment, notes of meetings or reports analysing issues and the outcomes of stakeholders including Commonwealth and other State parties.</w:t>
            </w:r>
          </w:p>
        </w:tc>
        <w:tc>
          <w:tcPr>
            <w:tcW w:w="2268" w:type="dxa"/>
          </w:tcPr>
          <w:p>
            <w:r>
              <w:t>Retain minimum of 5 years after action completed, then destroy</w:t>
            </w:r>
          </w:p>
        </w:tc>
      </w:tr>
    </w:tbl>
    <w:p>
      <w:pPr>
        <w:pStyle w:val="Heading2"/>
        <w:spacing w:after="0"/>
      </w:pPr>
      <w:bookmarkStart w:id="11" w:name="id23"/>
      <w:r>
        <w:t xml:space="preserve">4.11.0 </w:t>
      </w:r>
      <w:r>
        <w:t>Reviewing</w:t>
      </w:r>
      <w:bookmarkEnd w:id="11"/>
    </w:p>
    <w:p>
      <w:r>
        <w:t xml:space="preserve">The activities involved in re-evaluating or re-examining products, processes, procedures, standards and systems. Includes recommendations and advice resulting from these activities.</w:t>
      </w:r>
    </w:p>
    <w:p>
      <w:r>
        <w:t xml:space="preserve">See </w:t>
      </w:r>
      <w:r>
        <w:t xml:space="preserve">General Retention and Disposal Authority </w:t>
      </w:r>
      <w:r>
        <w:rPr>
          <w:i/>
        </w:rPr>
        <w:t xml:space="preserve">Personnel records </w:t>
      </w:r>
      <w:r>
        <w:rPr>
          <w:b/>
        </w:rPr>
        <w:t xml:space="preserve">PERSONNEL </w:t>
      </w:r>
      <w:r>
        <w:rPr>
          <w:b/>
        </w:rPr>
        <w:t xml:space="preserve">- Security </w:t>
      </w:r>
      <w:r>
        <w:t>for records relating to security clearances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4.11.1</w:t>
            </w:r>
          </w:p>
          <w:p>
            <w:pPr>
              <w:spacing w:after="0"/>
            </w:pPr>
            <w:r>
              <w:rPr>
                <w:rStyle w:val="HiddenChar"/>
              </w:rPr>
              <w:t>EMERGENCY MANAGEMENT - Reviewing</w:t>
            </w:r>
          </w:p>
        </w:tc>
        <w:tc>
          <w:tcPr>
            <w:tcW w:w="5812" w:type="dxa"/>
          </w:tcPr>
          <w:p>
            <w:r>
              <w:t xml:space="preserve">Records relating to reviews of government programs and operations for managing and responding to natural disasters, security threats, terrorism and other emergencies within the State. Records include - documents establishing the review, background research, draft versions of review reports containing significant changes/alterations or formally circulated for comment, final and approved versions of reports, project or action plans.</w:t>
            </w:r>
          </w:p>
        </w:tc>
        <w:tc>
          <w:tcPr>
            <w:tcW w:w="2268" w:type="dxa"/>
          </w:tcPr>
          <w:p>
            <w:r>
              <w:t>Required as State archives</w:t>
            </w:r>
          </w:p>
        </w:tc>
      </w:tr>
    </w:tbl>
    <w:p>
      <w:pPr>
        <w:pStyle w:val="Heading1"/>
        <w:pageBreakBefore/>
        <w:spacing w:after="0"/>
      </w:pPr>
      <w:bookmarkStart w:id="5" w:name="id24"/>
      <w:r>
        <w:t xml:space="preserve">5.0.0 </w:t>
      </w:r>
      <w:r>
        <w:t>MINISTERIAL AND PARLIAMENTARY SERVICES</w:t>
      </w:r>
      <w:bookmarkEnd w:id="5"/>
    </w:p>
    <w:p>
      <w:r>
        <w:t xml:space="preserve">The function of supporting elected officials in the execution of their duties. Includes Ministers' offices support, including the Premier as well as Executive support and support for the Leader of the Opposition and former Office Holders.</w:t>
      </w:r>
    </w:p>
    <w:p>
      <w:r>
        <w:t xml:space="preserve">See </w:t>
      </w:r>
      <w:r>
        <w:rPr>
          <w:b/>
        </w:rPr>
        <w:t xml:space="preserve">STRATEGIC POLICY AND ADVICE </w:t>
      </w:r>
      <w:r>
        <w:rPr>
          <w:b/>
        </w:rPr>
        <w:t xml:space="preserve">- Policy </w:t>
      </w:r>
      <w:r>
        <w:t>for ministerial memoranda issued by the Premier</w:t>
      </w:r>
    </w:p>
    <w:p>
      <w:pPr>
        <w:pStyle w:val="Heading2"/>
        <w:spacing w:after="0"/>
      </w:pPr>
      <w:bookmarkStart w:id="1" w:name="id25"/>
      <w:r>
        <w:t xml:space="preserve">5.1.0 </w:t>
      </w:r>
      <w:r>
        <w:t>Audit</w:t>
      </w:r>
      <w:bookmarkEnd w:id="1"/>
    </w:p>
    <w:p>
      <w:r>
        <w:t xml:space="preserve">The activities associated with officially checking quality assurance and operational records, systems or processes to confirm legislation, directions and regulations have been adhered to or that operations are carried out efficiently, economically and in compliance with requirements. Includes audits of Ministers' offices administrative processes and office expenditure.</w:t>
      </w:r>
    </w:p>
    <w:p>
      <w:r>
        <w:t xml:space="preserve">See </w:t>
      </w:r>
      <w:r>
        <w:t xml:space="preserve">General Retention and Disposal Authority </w:t>
      </w:r>
      <w:r>
        <w:rPr>
          <w:i/>
        </w:rPr>
        <w:t xml:space="preserve">Administrative records </w:t>
      </w:r>
      <w:r>
        <w:rPr>
          <w:b/>
        </w:rPr>
        <w:t xml:space="preserve">FINANCIAL MANAGEMENT </w:t>
      </w:r>
      <w:r>
        <w:rPr>
          <w:b/>
        </w:rPr>
        <w:t xml:space="preserve">- Audit </w:t>
      </w:r>
      <w:r>
        <w:t>for records relating to formal audits of accounts or the management of financial resources.</w:t>
      </w:r>
    </w:p>
    <w:p>
      <w:r>
        <w:t xml:space="preserve">See </w:t>
      </w:r>
      <w:r>
        <w:t xml:space="preserve">General Retention and Disposal Authority </w:t>
      </w:r>
      <w:r>
        <w:rPr>
          <w:i/>
        </w:rPr>
        <w:t xml:space="preserve">Administrative records </w:t>
      </w:r>
      <w:r>
        <w:rPr>
          <w:b/>
        </w:rPr>
        <w:t xml:space="preserve">STRATEGIC MANAGEMENT </w:t>
      </w:r>
      <w:r>
        <w:rPr>
          <w:b/>
        </w:rPr>
        <w:t xml:space="preserve">- Audit </w:t>
      </w:r>
      <w:r>
        <w:t>for records relating to organisation-wide audits across functions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5.1.1</w:t>
            </w:r>
          </w:p>
          <w:p>
            <w:pPr>
              <w:spacing w:after="0"/>
            </w:pPr>
            <w:r>
              <w:rPr>
                <w:rStyle w:val="HiddenChar"/>
              </w:rPr>
              <w:t>MINISTERIAL AND PARLIAMENTARY SERVICES - Audit</w:t>
            </w:r>
          </w:p>
        </w:tc>
        <w:tc>
          <w:tcPr>
            <w:tcW w:w="5812" w:type="dxa"/>
          </w:tcPr>
          <w:p>
            <w:r>
              <w:t xml:space="preserve">Records relating to the conduct of audits of Ministers' offices administrative processes and expenditure which identify major irregularities and lead to findings of misuse or inappropriate practices. Records include records of audit planning, liaison with auditing bodies, minutes or notes of meetings, notes taken at interviews, correspondence, draft versions of audit reports containing significant changes/alterations or formally circulated for comment, final, approved versions of audit reports, records of any remedial action taken.</w:t>
            </w:r>
          </w:p>
        </w:tc>
        <w:tc>
          <w:tcPr>
            <w:tcW w:w="2268" w:type="dxa"/>
          </w:tcPr>
          <w:p>
            <w:r>
              <w:t>Required as State archives</w:t>
            </w:r>
          </w:p>
        </w:tc>
      </w:tr>
      <w:tr>
        <w:trPr>
          <w:jc w:val="center"/>
        </w:trPr>
        <w:tc>
          <w:tcPr>
            <w:tcW w:w="992" w:type="dxa"/>
          </w:tcPr>
          <w:p>
            <w:pPr>
              <w:spacing w:after="0"/>
            </w:pPr>
            <w:r>
              <w:t>5.1.2</w:t>
            </w:r>
          </w:p>
          <w:p>
            <w:pPr>
              <w:spacing w:after="0"/>
            </w:pPr>
            <w:r>
              <w:rPr>
                <w:rStyle w:val="HiddenChar"/>
              </w:rPr>
              <w:t>MINISTERIAL AND PARLIAMENTARY SERVICES - Audit</w:t>
            </w:r>
          </w:p>
        </w:tc>
        <w:tc>
          <w:tcPr>
            <w:tcW w:w="5812" w:type="dxa"/>
          </w:tcPr>
          <w:p>
            <w:r>
              <w:t xml:space="preserve">Records relating to the conduct of audits of Ministers' offices administrative processes and expenditure which are routine. Records include records of audit planning, liaison with auditing bodies, minutes or notes of meetings, notes taken at interviews, correspondence, draft versions of audit reports containing significant changes/alterations or formally circulated for comment, final, approved versions of audit reports, records of any remedial action taken.</w:t>
            </w:r>
          </w:p>
        </w:tc>
        <w:tc>
          <w:tcPr>
            <w:tcW w:w="2268" w:type="dxa"/>
          </w:tcPr>
          <w:p>
            <w:r>
              <w:t>Retain minimum of 7 years after action completed, then destroy</w:t>
            </w:r>
          </w:p>
        </w:tc>
      </w:tr>
    </w:tbl>
    <w:p>
      <w:pPr>
        <w:pStyle w:val="Heading2"/>
        <w:spacing w:after="0"/>
      </w:pPr>
      <w:bookmarkStart w:id="2" w:name="id26"/>
      <w:r>
        <w:t xml:space="preserve">5.2.0 </w:t>
      </w:r>
      <w:r>
        <w:t>Leave</w:t>
      </w:r>
      <w:bookmarkEnd w:id="2"/>
    </w:p>
    <w:p>
      <w:r>
        <w:t xml:space="preserve">The administration of applications for leave.</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5.2.1</w:t>
            </w:r>
          </w:p>
          <w:p>
            <w:pPr>
              <w:spacing w:after="0"/>
            </w:pPr>
            <w:r>
              <w:rPr>
                <w:rStyle w:val="HiddenChar"/>
              </w:rPr>
              <w:t>MINISTERIAL AND PARLIAMENTARY SERVICES - Leave</w:t>
            </w:r>
          </w:p>
        </w:tc>
        <w:tc>
          <w:tcPr>
            <w:tcW w:w="5812" w:type="dxa"/>
          </w:tcPr>
          <w:p>
            <w:r>
              <w:t xml:space="preserve">Records relating to notices and approvals of Ministerial absences by the Premier.</w:t>
            </w:r>
          </w:p>
        </w:tc>
        <w:tc>
          <w:tcPr>
            <w:tcW w:w="2268" w:type="dxa"/>
          </w:tcPr>
          <w:p>
            <w:r>
              <w:t>Retain minimum of 7 years after action completed, then destroy</w:t>
            </w:r>
          </w:p>
        </w:tc>
      </w:tr>
    </w:tbl>
    <w:p>
      <w:pPr>
        <w:pStyle w:val="Heading2"/>
        <w:spacing w:after="0"/>
      </w:pPr>
      <w:bookmarkStart w:id="3" w:name="id27"/>
      <w:r>
        <w:t xml:space="preserve">5.3.0 </w:t>
      </w:r>
      <w:r>
        <w:t>Policy</w:t>
      </w:r>
      <w:bookmarkEnd w:id="3"/>
    </w:p>
    <w:p>
      <w:r>
        <w:t xml:space="preserve">The activities associated with developing and establishing decisions, directions and precedents which act as a reference for future decision making, as the basis from which the organisation's operating procedures are determined.</w:t>
      </w:r>
    </w:p>
    <w:p>
      <w:r>
        <w:t xml:space="preserve">See </w:t>
      </w:r>
      <w:r>
        <w:t xml:space="preserve">General Retention and Disposal Authority </w:t>
      </w:r>
      <w:r>
        <w:rPr>
          <w:i/>
        </w:rPr>
        <w:t xml:space="preserve">Administrative records </w:t>
      </w:r>
      <w:r>
        <w:rPr>
          <w:b/>
        </w:rPr>
        <w:t xml:space="preserve">GOVERNMENT RELATIONS </w:t>
      </w:r>
      <w:r>
        <w:rPr>
          <w:b/>
        </w:rPr>
        <w:t xml:space="preserve">- Policy </w:t>
      </w:r>
      <w:r>
        <w:t>for records relating to advice or notifications regarding policies that apply to the whole-of-government, e.g. Premier's Memoranda and Circulars, Treasurer's Directions.</w:t>
      </w:r>
    </w:p>
    <w:p>
      <w:r>
        <w:t xml:space="preserve">See </w:t>
      </w:r>
      <w:r>
        <w:t xml:space="preserve">General Retention and Disposal Authority </w:t>
      </w:r>
      <w:r>
        <w:rPr>
          <w:i/>
        </w:rPr>
        <w:t xml:space="preserve">Administrative records </w:t>
      </w:r>
      <w:r>
        <w:rPr>
          <w:b/>
        </w:rPr>
        <w:t xml:space="preserve">GOVERNMENT RELATIONS </w:t>
      </w:r>
      <w:r>
        <w:rPr>
          <w:b/>
        </w:rPr>
        <w:t xml:space="preserve">- Submissions </w:t>
      </w:r>
      <w:r>
        <w:t>for records relating to submissions by the organisation on the development or review of government-wide policies developed by central coordinating agencies.</w:t>
      </w:r>
    </w:p>
    <w:p>
      <w:r>
        <w:t xml:space="preserve">See </w:t>
      </w:r>
      <w:r>
        <w:t xml:space="preserve">General Retention and Disposal Authority </w:t>
      </w:r>
      <w:r>
        <w:rPr>
          <w:i/>
        </w:rPr>
        <w:t xml:space="preserve">Administrative records </w:t>
      </w:r>
      <w:r>
        <w:rPr>
          <w:b/>
        </w:rPr>
        <w:t xml:space="preserve">STRATEGIC MANAGEMENT </w:t>
      </w:r>
      <w:r>
        <w:rPr>
          <w:b/>
        </w:rPr>
        <w:t xml:space="preserve">- Policy </w:t>
      </w:r>
      <w:r>
        <w:t>for records relating to the organisation's policies on cross-functional or organisation-wide matters.</w:t>
      </w:r>
    </w:p>
    <w:p>
      <w:r>
        <w:t xml:space="preserve">See </w:t>
      </w:r>
      <w:r>
        <w:t xml:space="preserve">General Retention and Disposal Authority </w:t>
      </w:r>
      <w:r>
        <w:rPr>
          <w:i/>
        </w:rPr>
        <w:t xml:space="preserve">Administrative records </w:t>
      </w:r>
      <w:r>
        <w:rPr>
          <w:b/>
        </w:rPr>
        <w:t xml:space="preserve">STRATEGIC MANAGEMENT </w:t>
      </w:r>
      <w:r>
        <w:rPr>
          <w:b/>
        </w:rPr>
        <w:t xml:space="preserve">- implementation </w:t>
      </w:r>
      <w:r>
        <w:t>for records relating to the implementation of government-wide policies by the organisation.</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5.3.1</w:t>
            </w:r>
          </w:p>
          <w:p>
            <w:pPr>
              <w:spacing w:after="0"/>
            </w:pPr>
            <w:r>
              <w:rPr>
                <w:rStyle w:val="HiddenChar"/>
              </w:rPr>
              <w:t>MINISTERIAL AND PARLIAMENTARY SERVICES - Policy</w:t>
            </w:r>
          </w:p>
        </w:tc>
        <w:tc>
          <w:tcPr>
            <w:tcW w:w="5812" w:type="dxa"/>
          </w:tcPr>
          <w:p>
            <w:r>
              <w:t xml:space="preserve">Records relating to the development and review of policies and codes of conduct for Ministers and ministerial staff. Records include policy proposals, background research, records of consultations, draft versions of policies containing significant changes/alterations or formally circulated for comment, reports analysing issues and the outcomes of consultation with stakeholders and final versions of policies and codes of conduct. This includes the Ministerial handbook and associated guidelines and correspondence regarding the application of policies and responsibilities for their implementation.</w:t>
            </w:r>
          </w:p>
        </w:tc>
        <w:tc>
          <w:tcPr>
            <w:tcW w:w="2268" w:type="dxa"/>
          </w:tcPr>
          <w:p>
            <w:r>
              <w:t>Required as State archives</w:t>
            </w:r>
          </w:p>
        </w:tc>
      </w:tr>
    </w:tbl>
    <w:p>
      <w:pPr>
        <w:pStyle w:val="Heading2"/>
        <w:spacing w:after="0"/>
      </w:pPr>
      <w:bookmarkStart w:id="4" w:name="id28"/>
      <w:r>
        <w:t xml:space="preserve">5.4.0 </w:t>
      </w:r>
      <w:r>
        <w:t>Security (includes Ministerial protection)</w:t>
      </w:r>
      <w:bookmarkEnd w:id="4"/>
    </w:p>
    <w:p>
      <w:r>
        <w:t xml:space="preserve">The activities involved in providing security protection to current and former New South Wales office holders.</w:t>
      </w:r>
    </w:p>
    <w:p>
      <w:r>
        <w:t xml:space="preserve">See </w:t>
      </w:r>
      <w:r>
        <w:rPr>
          <w:b/>
        </w:rPr>
        <w:t xml:space="preserve">EMERGENCY MANAGEMENT </w:t>
      </w:r>
      <w:r>
        <w:rPr>
          <w:b/>
        </w:rPr>
        <w:t xml:space="preserve">- Planning </w:t>
      </w:r>
      <w:r>
        <w:t>for records relating to risk assessments and the development of plans for the protection of current and former office holders.</w:t>
      </w:r>
    </w:p>
    <w:p>
      <w:r>
        <w:t xml:space="preserve">See </w:t>
      </w:r>
      <w:r>
        <w:t xml:space="preserve">General Retention and Disposal Authority </w:t>
      </w:r>
      <w:r>
        <w:rPr>
          <w:i/>
        </w:rPr>
        <w:t xml:space="preserve">Administrative records </w:t>
      </w:r>
      <w:r>
        <w:rPr>
          <w:b/>
        </w:rPr>
        <w:t xml:space="preserve">PROPERTY MANAGEMENT </w:t>
      </w:r>
      <w:r>
        <w:rPr>
          <w:b/>
        </w:rPr>
        <w:t xml:space="preserve">- Security </w:t>
      </w:r>
      <w:r>
        <w:t>for records relating to the protection of current and former office holder's residential and business premises.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5.4.1</w:t>
            </w:r>
          </w:p>
          <w:p>
            <w:pPr>
              <w:spacing w:after="0"/>
            </w:pPr>
            <w:r>
              <w:rPr>
                <w:rStyle w:val="HiddenChar"/>
              </w:rPr>
              <w:t>MINISTERIAL AND PARLIAMENTARY SERVICES - Security (includes Ministerial protection)</w:t>
            </w:r>
          </w:p>
        </w:tc>
        <w:tc>
          <w:tcPr>
            <w:tcW w:w="5812" w:type="dxa"/>
          </w:tcPr>
          <w:p>
            <w:r>
              <w:t xml:space="preserve">Records relating to major security occurrences, such as terrorist attacks, assassination attempts, break-ins, involving current and former office holders or their families. Includes records of liaison and reports relating to the incident and its handling.</w:t>
            </w:r>
          </w:p>
        </w:tc>
        <w:tc>
          <w:tcPr>
            <w:tcW w:w="2268" w:type="dxa"/>
          </w:tcPr>
          <w:p>
            <w:r>
              <w:t>Required as State archives</w:t>
            </w:r>
          </w:p>
        </w:tc>
      </w:tr>
      <w:tr>
        <w:trPr>
          <w:jc w:val="center"/>
        </w:trPr>
        <w:tc>
          <w:tcPr>
            <w:tcW w:w="992" w:type="dxa"/>
          </w:tcPr>
          <w:p>
            <w:pPr>
              <w:spacing w:after="0"/>
            </w:pPr>
            <w:r>
              <w:t>5.4.2</w:t>
            </w:r>
          </w:p>
          <w:p>
            <w:pPr>
              <w:spacing w:after="0"/>
            </w:pPr>
            <w:r>
              <w:rPr>
                <w:rStyle w:val="HiddenChar"/>
              </w:rPr>
              <w:t>MINISTERIAL AND PARLIAMENTARY SERVICES - Security (includes Ministerial protection)</w:t>
            </w:r>
          </w:p>
        </w:tc>
        <w:tc>
          <w:tcPr>
            <w:tcW w:w="5812" w:type="dxa"/>
          </w:tcPr>
          <w:p>
            <w:r>
              <w:t xml:space="preserve">Records relating to liaison activities and reports concerning security and protection for current and former office holders or their families where there was no security occurrence or the security occurrence was of a non threatening nature (e.g. a false alarm).</w:t>
            </w:r>
          </w:p>
        </w:tc>
        <w:tc>
          <w:tcPr>
            <w:tcW w:w="2268" w:type="dxa"/>
          </w:tcPr>
          <w:p>
            <w:r>
              <w:t>Retain minimum of 7 years after action completed, then destroy</w:t>
            </w:r>
          </w:p>
        </w:tc>
      </w:tr>
      <w:tr>
        <w:trPr>
          <w:jc w:val="center"/>
        </w:trPr>
        <w:tc>
          <w:tcPr>
            <w:tcW w:w="992" w:type="dxa"/>
          </w:tcPr>
          <w:p>
            <w:pPr>
              <w:spacing w:after="0"/>
            </w:pPr>
            <w:r>
              <w:t>5.4.3</w:t>
            </w:r>
          </w:p>
          <w:p>
            <w:pPr>
              <w:spacing w:after="0"/>
            </w:pPr>
            <w:r>
              <w:rPr>
                <w:rStyle w:val="HiddenChar"/>
              </w:rPr>
              <w:t>MINISTERIAL AND PARLIAMENTARY SERVICES - Security (includes Ministerial protection)</w:t>
            </w:r>
          </w:p>
        </w:tc>
        <w:tc>
          <w:tcPr>
            <w:tcW w:w="5812" w:type="dxa"/>
          </w:tcPr>
          <w:p>
            <w:r>
              <w:t xml:space="preserve">Records relating to arrangements for the personal security of current and former office holders.</w:t>
            </w:r>
          </w:p>
        </w:tc>
        <w:tc>
          <w:tcPr>
            <w:tcW w:w="2268" w:type="dxa"/>
          </w:tcPr>
          <w:p>
            <w:r>
              <w:t>Retain minimum of 3 years after action completed, then destroy</w:t>
            </w:r>
          </w:p>
        </w:tc>
      </w:tr>
    </w:tbl>
    <w:p>
      <w:pPr>
        <w:pStyle w:val="Heading1"/>
        <w:pageBreakBefore/>
        <w:spacing w:after="0"/>
      </w:pPr>
      <w:bookmarkStart w:id="6" w:name="id29"/>
      <w:r>
        <w:t xml:space="preserve">6.0.0 </w:t>
      </w:r>
      <w:r>
        <w:t>PROTOCOL AND EVENTS</w:t>
      </w:r>
      <w:bookmarkEnd w:id="6"/>
    </w:p>
    <w:p>
      <w:r>
        <w:t xml:space="preserve">The function of delivering or coordinating government support for special events and providing ceremonial, protocol or hospitality services to visiting guests of the government. Includes the management of State aspects of the Australian Honours system and supporting the Governor of NSW in their ceremonial and community roles.</w:t>
      </w:r>
    </w:p>
    <w:p>
      <w:r>
        <w:t xml:space="preserve">See </w:t>
      </w:r>
      <w:r>
        <w:rPr>
          <w:b/>
        </w:rPr>
        <w:t xml:space="preserve">COMMUNITY SUPPORT </w:t>
      </w:r>
      <w:r>
        <w:rPr>
          <w:b/>
        </w:rPr>
        <w:t xml:space="preserve">- Grant assistance </w:t>
      </w:r>
      <w:r>
        <w:t>for records relating to the funding or sponsorship of community events</w:t>
      </w:r>
    </w:p>
    <w:p>
      <w:pPr>
        <w:pStyle w:val="Heading2"/>
        <w:spacing w:after="0"/>
      </w:pPr>
      <w:bookmarkStart w:id="1" w:name="id30"/>
      <w:r>
        <w:t xml:space="preserve">6.1.0 </w:t>
      </w:r>
      <w:r>
        <w:t>Awards and honours</w:t>
      </w:r>
      <w:bookmarkEnd w:id="1"/>
    </w:p>
    <w:p>
      <w:r>
        <w:t xml:space="preserve">Titles, certificates or decorations conferred on persons as a token of respect or in recognition of service, distinction or achievement.</w:t>
      </w:r>
    </w:p>
    <w:p>
      <w:r>
        <w:t xml:space="preserve">See </w:t>
      </w:r>
      <w:r>
        <w:rPr>
          <w:b/>
        </w:rPr>
        <w:t xml:space="preserve">PUBLIC SECTOR EMPLOYMENT </w:t>
      </w:r>
      <w:r>
        <w:rPr>
          <w:b/>
        </w:rPr>
        <w:t xml:space="preserve">- Awards and honours </w:t>
      </w:r>
      <w:r>
        <w:t>for records relating to the award of the Public Service Medals</w:t>
      </w:r>
    </w:p>
    <w:p>
      <w:r>
        <w:t xml:space="preserve">See </w:t>
      </w:r>
      <w:r>
        <w:t xml:space="preserve">General Retention and Disposal Authority </w:t>
      </w:r>
      <w:r>
        <w:rPr>
          <w:i/>
        </w:rPr>
        <w:t xml:space="preserve">Administrative records </w:t>
      </w:r>
      <w:r>
        <w:rPr>
          <w:b/>
        </w:rPr>
        <w:t xml:space="preserve">COMMUNITY RELATIONS </w:t>
      </w:r>
      <w:r>
        <w:rPr>
          <w:b/>
        </w:rPr>
        <w:t xml:space="preserve">- Celebrations, ceremonies, functions </w:t>
      </w:r>
      <w:r>
        <w:t>for records relating to administrative arrangements for functions to present awards</w:t>
      </w:r>
    </w:p>
    <w:p>
      <w:r>
        <w:t xml:space="preserve">See </w:t>
      </w:r>
      <w:r>
        <w:t xml:space="preserve">General Retention and Disposal Authority </w:t>
      </w:r>
      <w:r>
        <w:rPr>
          <w:i/>
        </w:rPr>
        <w:t xml:space="preserve">Administrative records </w:t>
      </w:r>
      <w:r>
        <w:rPr>
          <w:b/>
        </w:rPr>
        <w:t xml:space="preserve">COMMUNITY RELATIONS </w:t>
      </w:r>
      <w:r>
        <w:rPr>
          <w:b/>
        </w:rPr>
        <w:t xml:space="preserve">- Celebrations, ceremonies, functions </w:t>
      </w:r>
      <w:r>
        <w:t>for records relating to the receipt of awards by the agency</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6.1.1</w:t>
            </w:r>
          </w:p>
          <w:p>
            <w:pPr>
              <w:spacing w:after="0"/>
            </w:pPr>
            <w:r>
              <w:rPr>
                <w:rStyle w:val="HiddenChar"/>
              </w:rPr>
              <w:t>PROTOCOL AND EVENTS - Awards and honours</w:t>
            </w:r>
          </w:p>
        </w:tc>
        <w:tc>
          <w:tcPr>
            <w:tcW w:w="5812" w:type="dxa"/>
          </w:tcPr>
          <w:p>
            <w:r>
              <w:t xml:space="preserve">Records relating to the administration of awards schemes, for example the Premiers and Australia Day Awards, by the agency. Records include nominations for awards, decisions on granting award and details of award recipients.</w:t>
            </w:r>
          </w:p>
        </w:tc>
        <w:tc>
          <w:tcPr>
            <w:tcW w:w="2268" w:type="dxa"/>
          </w:tcPr>
          <w:p>
            <w:r>
              <w:t>Required as State archives</w:t>
            </w:r>
          </w:p>
        </w:tc>
      </w:tr>
    </w:tbl>
    <w:p>
      <w:pPr>
        <w:pStyle w:val="Heading2"/>
        <w:spacing w:after="0"/>
      </w:pPr>
      <w:bookmarkStart w:id="2" w:name="id31"/>
      <w:r>
        <w:t xml:space="preserve">6.2.0 </w:t>
      </w:r>
      <w:r>
        <w:t>Celebrations, ceremonies and functions</w:t>
      </w:r>
      <w:bookmarkEnd w:id="2"/>
    </w:p>
    <w:p>
      <w:r>
        <w:t xml:space="preserve">The activities associated with arranging and managing festivities or celebrations to honour a particular event or occasion.</w:t>
      </w:r>
    </w:p>
    <w:p>
      <w:r>
        <w:t xml:space="preserve">See </w:t>
      </w:r>
      <w:r>
        <w:rPr>
          <w:b/>
        </w:rPr>
        <w:t xml:space="preserve">PROTOCOL AND EVENTS </w:t>
      </w:r>
      <w:r>
        <w:rPr>
          <w:b/>
        </w:rPr>
        <w:t xml:space="preserve">- Committees </w:t>
      </w:r>
      <w:r>
        <w:t>for records of committees established to plan and coordinate particular events</w:t>
      </w:r>
    </w:p>
    <w:p>
      <w:r>
        <w:t xml:space="preserve">See </w:t>
      </w:r>
      <w:r>
        <w:rPr>
          <w:b/>
        </w:rPr>
        <w:t xml:space="preserve">PROTOCOL AND EVENTS </w:t>
      </w:r>
      <w:r>
        <w:rPr>
          <w:b/>
        </w:rPr>
        <w:t xml:space="preserve">- Community events and programs </w:t>
      </w:r>
      <w:r>
        <w:t>for records relating to sponsorship programs</w:t>
      </w:r>
    </w:p>
    <w:p>
      <w:r>
        <w:t xml:space="preserve">See </w:t>
      </w:r>
      <w:r>
        <w:rPr>
          <w:b/>
        </w:rPr>
        <w:t xml:space="preserve">PROTOCOL AND EVENTS </w:t>
      </w:r>
      <w:r>
        <w:rPr>
          <w:b/>
        </w:rPr>
        <w:t xml:space="preserve">- Official visits </w:t>
      </w:r>
      <w:r>
        <w:t>for records relating to hospitality functions associated with official visits</w:t>
      </w:r>
    </w:p>
    <w:p>
      <w:r>
        <w:t xml:space="preserve">See </w:t>
      </w:r>
      <w:r>
        <w:t xml:space="preserve">Functional Retention and Disposal Authority </w:t>
      </w:r>
      <w:r>
        <w:rPr>
          <w:i/>
        </w:rPr>
        <w:t xml:space="preserve">Cabinet Secretariat, policy advice and support services to the Government </w:t>
      </w:r>
      <w:r>
        <w:rPr>
          <w:b/>
        </w:rPr>
        <w:t xml:space="preserve">CO-ORDINATION OF GOVERNMENT, MAJOR PROJECTS AND LEGAL SERVICES </w:t>
      </w:r>
      <w:r>
        <w:rPr>
          <w:b/>
        </w:rPr>
        <w:t xml:space="preserve">- Visits </w:t>
      </w:r>
      <w:r>
        <w:t>for records relating to overseas visits made or proposed to be made by Ministers</w:t>
      </w:r>
    </w:p>
    <w:p>
      <w:r>
        <w:t xml:space="preserve">See </w:t>
      </w:r>
      <w:r>
        <w:t xml:space="preserve">General Retention and Disposal Authority </w:t>
      </w:r>
      <w:r>
        <w:rPr>
          <w:i/>
        </w:rPr>
        <w:t xml:space="preserve">Administrative records </w:t>
      </w:r>
      <w:r>
        <w:t>for records relating to the management of issues associated with intellectual property, use of logos etc</w:t>
      </w:r>
    </w:p>
    <w:p>
      <w:r>
        <w:t xml:space="preserve">See </w:t>
      </w:r>
      <w:r>
        <w:t xml:space="preserve">General Retention and Disposal Authority </w:t>
      </w:r>
      <w:r>
        <w:rPr>
          <w:i/>
        </w:rPr>
        <w:t xml:space="preserve">Administrative records </w:t>
      </w:r>
      <w:r>
        <w:rPr>
          <w:b/>
        </w:rPr>
        <w:t xml:space="preserve">COMMUNITY RELATIONS </w:t>
      </w:r>
      <w:r>
        <w:rPr>
          <w:b/>
        </w:rPr>
        <w:t xml:space="preserve">- Celebrations, ceremonies, functions </w:t>
      </w:r>
      <w:r>
        <w:t>for records relating to catering, transport and venue bookings for events.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6.2.1</w:t>
            </w:r>
          </w:p>
          <w:p>
            <w:pPr>
              <w:spacing w:after="0"/>
            </w:pPr>
            <w:r>
              <w:rPr>
                <w:rStyle w:val="HiddenChar"/>
              </w:rPr>
              <w:t>PROTOCOL AND EVENTS - Celebrations, ceremonies and functions</w:t>
            </w:r>
          </w:p>
        </w:tc>
        <w:tc>
          <w:tcPr>
            <w:tcW w:w="5812" w:type="dxa"/>
          </w:tcPr>
          <w:p>
            <w:r>
              <w:t xml:space="preserve">Key records relating to government ceremonies, festivities or celebrations, this includes annual events (e.g. ANZAC Day and Australia Day) and one-off public events or ceremonies to mark a specific event or occasion (e.g. Welcome home parades, Opening of Parliament, State Funerals, memorial services). Records include development and approval of events, funding details, merchandising, badgeing, programs, guest lists, selected official photos, including funding details, official patrons and reports relating to the occasion or event or programs associated with the event.</w:t>
            </w:r>
          </w:p>
        </w:tc>
        <w:tc>
          <w:tcPr>
            <w:tcW w:w="2268" w:type="dxa"/>
          </w:tcPr>
          <w:p>
            <w:r>
              <w:t>Required as State archives</w:t>
            </w:r>
          </w:p>
        </w:tc>
      </w:tr>
      <w:tr>
        <w:trPr>
          <w:jc w:val="center"/>
        </w:trPr>
        <w:tc>
          <w:tcPr>
            <w:tcW w:w="992" w:type="dxa"/>
          </w:tcPr>
          <w:p>
            <w:pPr>
              <w:spacing w:after="0"/>
            </w:pPr>
            <w:r>
              <w:t>6.2.2</w:t>
            </w:r>
          </w:p>
          <w:p>
            <w:pPr>
              <w:spacing w:after="0"/>
            </w:pPr>
            <w:r>
              <w:rPr>
                <w:rStyle w:val="HiddenChar"/>
              </w:rPr>
              <w:t>PROTOCOL AND EVENTS - Celebrations, ceremonies and functions</w:t>
            </w:r>
          </w:p>
        </w:tc>
        <w:tc>
          <w:tcPr>
            <w:tcW w:w="5812" w:type="dxa"/>
          </w:tcPr>
          <w:p>
            <w:r>
              <w:t xml:space="preserve">Records relating to the coordination of arrangements for ceremonies, festivities, celebrations or events. Records include event planning, marketing and media relations, liaison and consultation with other government agencies or levels of government or the community sector.</w:t>
            </w:r>
          </w:p>
        </w:tc>
        <w:tc>
          <w:tcPr>
            <w:tcW w:w="2268" w:type="dxa"/>
          </w:tcPr>
          <w:p>
            <w:r>
              <w:t>Retain minimum of 7 years after action completed, then destroy</w:t>
            </w:r>
          </w:p>
        </w:tc>
      </w:tr>
      <w:tr>
        <w:trPr>
          <w:jc w:val="center"/>
        </w:trPr>
        <w:tc>
          <w:tcPr>
            <w:tcW w:w="992" w:type="dxa"/>
          </w:tcPr>
          <w:p>
            <w:pPr>
              <w:spacing w:after="0"/>
            </w:pPr>
            <w:r>
              <w:t>6.2.3</w:t>
            </w:r>
          </w:p>
          <w:p>
            <w:pPr>
              <w:spacing w:after="0"/>
            </w:pPr>
            <w:r>
              <w:rPr>
                <w:rStyle w:val="HiddenChar"/>
              </w:rPr>
              <w:t>PROTOCOL AND EVENTS - Celebrations, ceremonies and functions</w:t>
            </w:r>
          </w:p>
        </w:tc>
        <w:tc>
          <w:tcPr>
            <w:tcW w:w="5812" w:type="dxa"/>
          </w:tcPr>
          <w:p>
            <w:r>
              <w:t xml:space="preserve">Records relating to arrangements for Government exhibitions or displays at community events such as agricultural shows, trade shows, sporting events or exhibitions. Includes records relating to administrative arrangements for the mounting of displays such as transport, equipment, facilities.</w:t>
            </w:r>
          </w:p>
        </w:tc>
        <w:tc>
          <w:tcPr>
            <w:tcW w:w="2268" w:type="dxa"/>
          </w:tcPr>
          <w:p>
            <w:r>
              <w:t>Retain minimum of 5 years after action completed, then destroy</w:t>
            </w:r>
          </w:p>
        </w:tc>
      </w:tr>
    </w:tbl>
    <w:p>
      <w:pPr>
        <w:pStyle w:val="Heading2"/>
        <w:spacing w:after="0"/>
      </w:pPr>
      <w:bookmarkStart w:id="3" w:name="id32"/>
      <w:r>
        <w:t xml:space="preserve">6.3.0 </w:t>
      </w:r>
      <w:r>
        <w:t>Committees</w:t>
      </w:r>
      <w:bookmarkEnd w:id="3"/>
    </w:p>
    <w:p>
      <w:r>
        <w:t xml:space="preserve">The activities associated with the management of committees and task forces (internal and external, private, local, state, Commonwealth etc.).</w:t>
      </w:r>
    </w:p>
    <w:p>
      <w:r>
        <w:t xml:space="preserve">See </w:t>
      </w:r>
      <w:r>
        <w:t xml:space="preserve">General Retention and Disposal Authority </w:t>
      </w:r>
      <w:r>
        <w:rPr>
          <w:i/>
        </w:rPr>
        <w:t xml:space="preserve">Administrative records </w:t>
      </w:r>
      <w:r>
        <w:rPr>
          <w:b/>
        </w:rPr>
        <w:t xml:space="preserve">COMMITTEES </w:t>
      </w:r>
      <w:r>
        <w:t>for records relating to the establishment and meetings of Boards and advisory committees, councils etc and administrative arrangements for meetings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6.3.1</w:t>
            </w:r>
          </w:p>
          <w:p>
            <w:pPr>
              <w:spacing w:after="0"/>
            </w:pPr>
            <w:r>
              <w:rPr>
                <w:rStyle w:val="HiddenChar"/>
              </w:rPr>
              <w:t>PROTOCOL AND EVENTS - Committees</w:t>
            </w:r>
          </w:p>
        </w:tc>
        <w:tc>
          <w:tcPr>
            <w:tcW w:w="5812" w:type="dxa"/>
          </w:tcPr>
          <w:p>
            <w:r>
              <w:t xml:space="preserve">Records relating to the establishment and meetings of committees, councils, etc. established for the purposes of coordinating or delivering particular special events, e.g. the Australia Day Council, the Committee for the Sesquicentenary of Responsible Government in NSW. Includes records relating to the committee's establishment, terms of reference, appointment of members, resignations and declarations of pecuniary interests, proceedings, minutes, reports, agendas etc. </w:t>
            </w:r>
          </w:p>
        </w:tc>
        <w:tc>
          <w:tcPr>
            <w:tcW w:w="2268" w:type="dxa"/>
          </w:tcPr>
          <w:p>
            <w:r>
              <w:t>Required as State archives</w:t>
            </w:r>
          </w:p>
        </w:tc>
      </w:tr>
    </w:tbl>
    <w:p>
      <w:pPr>
        <w:pStyle w:val="Heading2"/>
        <w:spacing w:after="0"/>
      </w:pPr>
      <w:bookmarkStart w:id="4" w:name="id33"/>
      <w:r>
        <w:t xml:space="preserve">6.4.0 </w:t>
      </w:r>
      <w:r>
        <w:t>Emblem administration</w:t>
      </w:r>
      <w:bookmarkEnd w:id="4"/>
    </w:p>
    <w:p>
      <w:r>
        <w:t xml:space="preserve">The activities associated with managing State emblems including the Coat of Arms, Floral Emblem, and the State flag. Includes the protection of emblems, the processing of requests for usage and reproduction and the provision of flags to community groups and organisations.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6.4.1</w:t>
            </w:r>
          </w:p>
          <w:p>
            <w:pPr>
              <w:spacing w:after="0"/>
            </w:pPr>
            <w:r>
              <w:rPr>
                <w:rStyle w:val="HiddenChar"/>
              </w:rPr>
              <w:t>PROTOCOL AND EVENTS - Emblem administration</w:t>
            </w:r>
          </w:p>
        </w:tc>
        <w:tc>
          <w:tcPr>
            <w:tcW w:w="5812" w:type="dxa"/>
          </w:tcPr>
          <w:p>
            <w:r>
              <w:t xml:space="preserve">Records relating to the management of New South Wales Emblems, State flag and the New South Wales Coat of Arms. Records include memoranda and circulars issued by the agency stipulating the how State symbols may be used, the conditions under which applications may be made and approvals for use where the permission given is of a permanent nature.</w:t>
            </w:r>
          </w:p>
        </w:tc>
        <w:tc>
          <w:tcPr>
            <w:tcW w:w="2268" w:type="dxa"/>
          </w:tcPr>
          <w:p>
            <w:r>
              <w:t>Required as State archives</w:t>
            </w:r>
          </w:p>
        </w:tc>
      </w:tr>
      <w:tr>
        <w:trPr>
          <w:jc w:val="center"/>
        </w:trPr>
        <w:tc>
          <w:tcPr>
            <w:tcW w:w="992" w:type="dxa"/>
          </w:tcPr>
          <w:p>
            <w:pPr>
              <w:spacing w:after="0"/>
            </w:pPr>
            <w:r>
              <w:t>6.4.2</w:t>
            </w:r>
          </w:p>
          <w:p>
            <w:pPr>
              <w:spacing w:after="0"/>
            </w:pPr>
            <w:r>
              <w:rPr>
                <w:rStyle w:val="HiddenChar"/>
              </w:rPr>
              <w:t>PROTOCOL AND EVENTS - Emblem administration</w:t>
            </w:r>
          </w:p>
        </w:tc>
        <w:tc>
          <w:tcPr>
            <w:tcW w:w="5812" w:type="dxa"/>
          </w:tcPr>
          <w:p>
            <w:r>
              <w:t xml:space="preserve">Records relating to the provision of advice to both government and the public on the use of State symbols. Includes records relating to the provision of access to image libraries and approvals of artwork.</w:t>
            </w:r>
          </w:p>
        </w:tc>
        <w:tc>
          <w:tcPr>
            <w:tcW w:w="2268" w:type="dxa"/>
          </w:tcPr>
          <w:p>
            <w:r>
              <w:t>Retain minimum of 7 years after action completed, then destroy</w:t>
            </w:r>
          </w:p>
        </w:tc>
      </w:tr>
      <w:tr>
        <w:trPr>
          <w:jc w:val="center"/>
        </w:trPr>
        <w:tc>
          <w:tcPr>
            <w:tcW w:w="992" w:type="dxa"/>
          </w:tcPr>
          <w:p>
            <w:pPr>
              <w:spacing w:after="0"/>
            </w:pPr>
            <w:r>
              <w:t>6.4.3</w:t>
            </w:r>
          </w:p>
          <w:p>
            <w:pPr>
              <w:spacing w:after="0"/>
            </w:pPr>
            <w:r>
              <w:rPr>
                <w:rStyle w:val="HiddenChar"/>
              </w:rPr>
              <w:t>PROTOCOL AND EVENTS - Emblem administration</w:t>
            </w:r>
          </w:p>
        </w:tc>
        <w:tc>
          <w:tcPr>
            <w:tcW w:w="5812" w:type="dxa"/>
          </w:tcPr>
          <w:p>
            <w:r>
              <w:t xml:space="preserve">Records relating to requests by organisations and individuals to use State symbols on a one off or temporary basis. Records includes requests and responses giving or denying permission.</w:t>
            </w:r>
          </w:p>
        </w:tc>
        <w:tc>
          <w:tcPr>
            <w:tcW w:w="2268" w:type="dxa"/>
          </w:tcPr>
          <w:p>
            <w:r>
              <w:t>Retain minimum of 7 years after permission expires or is superseded, then destroy</w:t>
            </w:r>
          </w:p>
        </w:tc>
      </w:tr>
    </w:tbl>
    <w:p>
      <w:pPr>
        <w:pStyle w:val="Heading2"/>
        <w:spacing w:after="0"/>
      </w:pPr>
      <w:bookmarkStart w:id="5" w:name="id34"/>
      <w:r>
        <w:t xml:space="preserve">6.5.0 </w:t>
      </w:r>
      <w:r>
        <w:t>Official visits</w:t>
      </w:r>
      <w:bookmarkEnd w:id="5"/>
    </w:p>
    <w:p>
      <w:r>
        <w:t xml:space="preserve">The activities involved in coordinating visits to Australia by guests of the New South Wales Government. Includes visits by the Royal Family, foreign heads of government and representatives of foreign governments.</w:t>
      </w:r>
    </w:p>
    <w:p>
      <w:r>
        <w:t xml:space="preserve">See </w:t>
      </w:r>
      <w:r>
        <w:rPr>
          <w:b/>
        </w:rPr>
        <w:t xml:space="preserve">PROTOCOL AND EVENTS - PROTOCOL &amp; PROCEDURES </w:t>
      </w:r>
      <w:r>
        <w:t>for records relating to policy governing the correct protocol and precedence to follow during official visits.</w:t>
      </w:r>
    </w:p>
    <w:p>
      <w:r>
        <w:t xml:space="preserve">See </w:t>
      </w:r>
      <w:r>
        <w:t xml:space="preserve">Functional Retention and Disposal Authority </w:t>
      </w:r>
      <w:r>
        <w:rPr>
          <w:i/>
        </w:rPr>
        <w:t xml:space="preserve">Cabinet Secretariat, policy advice and support services to the Government </w:t>
      </w:r>
      <w:r>
        <w:rPr>
          <w:b/>
        </w:rPr>
        <w:t xml:space="preserve">CO-ORDINATION OF GOVERNMENT, MAJOR PROJECTS AND LEGAL SERVICES </w:t>
      </w:r>
      <w:r>
        <w:rPr>
          <w:b/>
        </w:rPr>
        <w:t xml:space="preserve">- Visits </w:t>
      </w:r>
      <w:r>
        <w:t>for records relating to overseas visits made or proposed to be made by Ministers</w:t>
      </w:r>
    </w:p>
    <w:p>
      <w:r>
        <w:t xml:space="preserve">See </w:t>
      </w:r>
      <w:r>
        <w:t xml:space="preserve">General Retention and Disposal Authority </w:t>
      </w:r>
      <w:r>
        <w:rPr>
          <w:i/>
        </w:rPr>
        <w:t xml:space="preserve">Administrative records </w:t>
      </w:r>
      <w:r>
        <w:rPr>
          <w:b/>
        </w:rPr>
        <w:t xml:space="preserve">STRATEGIC MANAGEMENT </w:t>
      </w:r>
      <w:r>
        <w:rPr>
          <w:b/>
        </w:rPr>
        <w:t xml:space="preserve">- Corruption </w:t>
      </w:r>
      <w:r>
        <w:t>for records relating to the management of official gifts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6.5.1</w:t>
            </w:r>
          </w:p>
          <w:p>
            <w:pPr>
              <w:spacing w:after="0"/>
            </w:pPr>
            <w:r>
              <w:rPr>
                <w:rStyle w:val="HiddenChar"/>
              </w:rPr>
              <w:t>PROTOCOL AND EVENTS - Official visits</w:t>
            </w:r>
          </w:p>
        </w:tc>
        <w:tc>
          <w:tcPr>
            <w:tcW w:w="5812" w:type="dxa"/>
          </w:tcPr>
          <w:p>
            <w:r>
              <w:t xml:space="preserve">Records relating to visits by the Royal Family, foreign Heads of State, Heads of Government and other leading dignitaries, including the Secretary-General of the United Nations. Includes records of organising and managing official or formal social occasions, liaison and coordination with Commonwealth authorities, programs and guest lists for hosted functions, selected official photos, reports, etc.</w:t>
            </w:r>
          </w:p>
        </w:tc>
        <w:tc>
          <w:tcPr>
            <w:tcW w:w="2268" w:type="dxa"/>
          </w:tcPr>
          <w:p>
            <w:r>
              <w:t>Required as State archives</w:t>
            </w:r>
          </w:p>
        </w:tc>
      </w:tr>
      <w:tr>
        <w:trPr>
          <w:jc w:val="center"/>
        </w:trPr>
        <w:tc>
          <w:tcPr>
            <w:tcW w:w="992" w:type="dxa"/>
          </w:tcPr>
          <w:p>
            <w:pPr>
              <w:spacing w:after="0"/>
            </w:pPr>
            <w:r>
              <w:t>6.5.2</w:t>
            </w:r>
          </w:p>
          <w:p>
            <w:pPr>
              <w:spacing w:after="0"/>
            </w:pPr>
            <w:r>
              <w:rPr>
                <w:rStyle w:val="HiddenChar"/>
              </w:rPr>
              <w:t>PROTOCOL AND EVENTS - Official visits</w:t>
            </w:r>
          </w:p>
        </w:tc>
        <w:tc>
          <w:tcPr>
            <w:tcW w:w="5812" w:type="dxa"/>
          </w:tcPr>
          <w:p>
            <w:r>
              <w:t xml:space="preserve">Records relating to private/transit visits or cancelled official guest of government visits.</w:t>
            </w:r>
          </w:p>
        </w:tc>
        <w:tc>
          <w:tcPr>
            <w:tcW w:w="2268" w:type="dxa"/>
          </w:tcPr>
          <w:p>
            <w:r>
              <w:t>Retain minimum of 10 years after action completed, then destroy</w:t>
            </w:r>
          </w:p>
        </w:tc>
      </w:tr>
      <w:tr>
        <w:trPr>
          <w:jc w:val="center"/>
        </w:trPr>
        <w:tc>
          <w:tcPr>
            <w:tcW w:w="992" w:type="dxa"/>
          </w:tcPr>
          <w:p>
            <w:pPr>
              <w:spacing w:after="0"/>
            </w:pPr>
            <w:r>
              <w:t>6.5.3</w:t>
            </w:r>
          </w:p>
          <w:p>
            <w:pPr>
              <w:spacing w:after="0"/>
            </w:pPr>
            <w:r>
              <w:rPr>
                <w:rStyle w:val="HiddenChar"/>
              </w:rPr>
              <w:t>PROTOCOL AND EVENTS - Official visits</w:t>
            </w:r>
          </w:p>
        </w:tc>
        <w:tc>
          <w:tcPr>
            <w:tcW w:w="5812" w:type="dxa"/>
          </w:tcPr>
          <w:p>
            <w:r>
              <w:t xml:space="preserve">Records relating to visits to New South Wales by other guests of the government, including Ministers of foreign governments. Includes records of organising and managing official or formal social occasions, liaison and coordination with Commonwealth authorities etc.</w:t>
            </w:r>
          </w:p>
        </w:tc>
        <w:tc>
          <w:tcPr>
            <w:tcW w:w="2268" w:type="dxa"/>
          </w:tcPr>
          <w:p>
            <w:r>
              <w:t>Retain minimum of 10 years after action completed, then destroy</w:t>
            </w:r>
          </w:p>
        </w:tc>
      </w:tr>
    </w:tbl>
    <w:p>
      <w:pPr>
        <w:pStyle w:val="Heading2"/>
        <w:spacing w:after="0"/>
      </w:pPr>
      <w:bookmarkStart w:id="6" w:name="id35"/>
      <w:r>
        <w:t xml:space="preserve">6.6.0 </w:t>
      </w:r>
      <w:r>
        <w:t>Protocol &amp; Procedures</w:t>
      </w:r>
      <w:bookmarkEnd w:id="6"/>
    </w:p>
    <w:p>
      <w:r>
        <w:t xml:space="preserve">Policy and procedures governing the management of protocol and conduct or staging of events.</w:t>
      </w:r>
    </w:p>
    <w:p>
      <w:r>
        <w:t xml:space="preserve">See </w:t>
      </w:r>
      <w:r>
        <w:rPr>
          <w:b/>
        </w:rPr>
        <w:t xml:space="preserve">PROTOCOL AND EVENTS - EMBLEM ADMINISTRATION </w:t>
      </w:r>
      <w:r>
        <w:t>for records relating to management and use of the State symbols, flags and emblems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6.6.1</w:t>
            </w:r>
          </w:p>
          <w:p>
            <w:pPr>
              <w:spacing w:after="0"/>
            </w:pPr>
            <w:r>
              <w:rPr>
                <w:rStyle w:val="HiddenChar"/>
              </w:rPr>
              <w:t>PROTOCOL AND EVENTS - Protocol &amp; Procedures</w:t>
            </w:r>
          </w:p>
        </w:tc>
        <w:tc>
          <w:tcPr>
            <w:tcW w:w="5812" w:type="dxa"/>
          </w:tcPr>
          <w:p>
            <w:r>
              <w:t xml:space="preserve">Records relating to development of protocols for State or government ceremonies, forms of address, and tables of precedence and flag procedures. Includes Aboriginal Cultural Protocols and Practices Policy established by the office.</w:t>
            </w:r>
          </w:p>
        </w:tc>
        <w:tc>
          <w:tcPr>
            <w:tcW w:w="2268" w:type="dxa"/>
          </w:tcPr>
          <w:p>
            <w:r>
              <w:t>Required as State archives</w:t>
            </w:r>
          </w:p>
        </w:tc>
      </w:tr>
      <w:tr>
        <w:trPr>
          <w:jc w:val="center"/>
        </w:trPr>
        <w:tc>
          <w:tcPr>
            <w:tcW w:w="992" w:type="dxa"/>
          </w:tcPr>
          <w:p>
            <w:pPr>
              <w:spacing w:after="0"/>
            </w:pPr>
            <w:r>
              <w:t>6.6.2</w:t>
            </w:r>
          </w:p>
          <w:p>
            <w:pPr>
              <w:spacing w:after="0"/>
            </w:pPr>
            <w:r>
              <w:rPr>
                <w:rStyle w:val="HiddenChar"/>
              </w:rPr>
              <w:t>PROTOCOL AND EVENTS - Protocol &amp; Procedures</w:t>
            </w:r>
          </w:p>
        </w:tc>
        <w:tc>
          <w:tcPr>
            <w:tcW w:w="5812" w:type="dxa"/>
          </w:tcPr>
          <w:p>
            <w:r>
              <w:t xml:space="preserve">Records relating to the development of policies or policy advice to government concerning the management or staging of events e.g. user pays policy for private sector events </w:t>
            </w:r>
          </w:p>
        </w:tc>
        <w:tc>
          <w:tcPr>
            <w:tcW w:w="2268" w:type="dxa"/>
          </w:tcPr>
          <w:p>
            <w:r>
              <w:t>Required as State archives</w:t>
            </w:r>
          </w:p>
        </w:tc>
      </w:tr>
      <w:tr>
        <w:trPr>
          <w:jc w:val="center"/>
        </w:trPr>
        <w:tc>
          <w:tcPr>
            <w:tcW w:w="992" w:type="dxa"/>
          </w:tcPr>
          <w:p>
            <w:pPr>
              <w:spacing w:after="0"/>
            </w:pPr>
            <w:r>
              <w:t>6.6.3</w:t>
            </w:r>
          </w:p>
          <w:p>
            <w:pPr>
              <w:spacing w:after="0"/>
            </w:pPr>
            <w:r>
              <w:rPr>
                <w:rStyle w:val="HiddenChar"/>
              </w:rPr>
              <w:t>PROTOCOL AND EVENTS - Protocol &amp; Procedures</w:t>
            </w:r>
          </w:p>
        </w:tc>
        <w:tc>
          <w:tcPr>
            <w:tcW w:w="5812" w:type="dxa"/>
          </w:tcPr>
          <w:p>
            <w:r>
              <w:t xml:space="preserve">Records relating to the development of procedures for the management or holding of events.</w:t>
            </w:r>
          </w:p>
        </w:tc>
        <w:tc>
          <w:tcPr>
            <w:tcW w:w="2268" w:type="dxa"/>
          </w:tcPr>
          <w:p>
            <w:r>
              <w:t>Retain minimum of 10 years after action completed, then destroy</w:t>
            </w:r>
          </w:p>
        </w:tc>
      </w:tr>
    </w:tbl>
    <w:p>
      <w:pPr>
        <w:pStyle w:val="Heading1"/>
        <w:pageBreakBefore/>
        <w:spacing w:after="0"/>
      </w:pPr>
      <w:bookmarkStart w:id="7" w:name="id36"/>
      <w:r>
        <w:t xml:space="preserve">7.0.0 </w:t>
      </w:r>
      <w:r>
        <w:t>PUBLIC SECTOR EMPLOYMENT</w:t>
      </w:r>
      <w:bookmarkEnd w:id="7"/>
    </w:p>
    <w:p>
      <w:r>
        <w:t xml:space="preserve">The function of managing employment and remuneration practices for people working in the State Public Service including State/sector wide policy, procedures and guidelines. Includes the negotiation of industrial awards and agreements, the provision of assistance to agencies to resolve industrial relations and employment matters, workforce planning and management with respect to data collection, superannuation, capability development, executive services, recruitment, ethics, occupational health and safety, redeployment and relocation, and equity and diversity.</w:t>
      </w:r>
    </w:p>
    <w:p>
      <w:r>
        <w:t xml:space="preserve">See </w:t>
      </w:r>
      <w:r>
        <w:t xml:space="preserve">Functional Retention and Disposal Authority </w:t>
      </w:r>
      <w:r>
        <w:rPr>
          <w:i/>
        </w:rPr>
        <w:t xml:space="preserve">Public Service Commission </w:t>
      </w:r>
      <w:r>
        <w:t>for records relating to public sector workforce planning and management</w:t>
      </w:r>
    </w:p>
    <w:p>
      <w:pPr>
        <w:pStyle w:val="Heading2"/>
        <w:spacing w:after="0"/>
      </w:pPr>
      <w:bookmarkStart w:id="1" w:name="id37"/>
      <w:r>
        <w:t xml:space="preserve">7.1.0 </w:t>
      </w:r>
      <w:r>
        <w:t>Advice</w:t>
      </w:r>
      <w:bookmarkEnd w:id="1"/>
    </w:p>
    <w:p>
      <w:r>
        <w:t xml:space="preserve">Entries superseded by FA329, </w:t>
      </w:r>
      <w:r>
        <w:rPr>
          <w:i/>
        </w:rPr>
        <w:r>
          <w:t xml:space="preserve">Public sector workforce planning and management.</w:t>
        </w:r>
      </w:r>
    </w:p>
    <w:p>
      <w:r>
        <w:t xml:space="preserve">See </w:t>
      </w:r>
      <w:r>
        <w:t xml:space="preserve">Functional Retention and Disposal Authority </w:t>
      </w:r>
      <w:r>
        <w:rPr>
          <w:i/>
        </w:rPr>
        <w:t xml:space="preserve">Public Sector workforce planning and management. </w:t>
      </w:r>
    </w:p>
    <w:p>
      <w:pPr>
        <w:pStyle w:val="Heading2"/>
        <w:spacing w:after="0"/>
      </w:pPr>
      <w:bookmarkStart w:id="2" w:name="id38"/>
      <w:r>
        <w:t xml:space="preserve">7.2.0 </w:t>
      </w:r>
      <w:r>
        <w:t>Advocacy</w:t>
      </w:r>
      <w:bookmarkEnd w:id="2"/>
    </w:p>
    <w:p>
      <w:r>
        <w:t xml:space="preserve">Entries superseded by FA329, </w:t>
      </w:r>
      <w:r>
        <w:rPr>
          <w:i/>
        </w:rPr>
        <w:r>
          <w:t xml:space="preserve">Public sector workforce planning and management.</w:t>
        </w:r>
      </w:r>
    </w:p>
    <w:p>
      <w:pPr>
        <w:pStyle w:val="Heading2"/>
        <w:spacing w:after="0"/>
      </w:pPr>
      <w:bookmarkStart w:id="3" w:name="id39"/>
      <w:r>
        <w:t xml:space="preserve">7.3.0 </w:t>
      </w:r>
      <w:r>
        <w:t>Awards and honours</w:t>
      </w:r>
      <w:bookmarkEnd w:id="3"/>
    </w:p>
    <w:p>
      <w:r>
        <w:t xml:space="preserve">Entries superseded by FA329, </w:t>
      </w:r>
      <w:r>
        <w:rPr>
          <w:i/>
        </w:rPr>
        <w:r>
          <w:t xml:space="preserve">Public sector workforce planning and management.</w:t>
        </w:r>
      </w:r>
    </w:p>
    <w:p>
      <w:pPr>
        <w:pStyle w:val="Heading2"/>
        <w:spacing w:after="0"/>
      </w:pPr>
      <w:bookmarkStart w:id="4" w:name="id40"/>
      <w:r>
        <w:t xml:space="preserve">7.4.0 </w:t>
      </w:r>
      <w:r>
        <w:t>Industrial awards and agreements</w:t>
      </w:r>
      <w:bookmarkEnd w:id="4"/>
    </w:p>
    <w:p>
      <w:r>
        <w:t xml:space="preserve">The activities relating to negotiations and consultation with representative organisations on industrial matters affecting the public sector workforce.</w:t>
      </w:r>
    </w:p>
    <w:p>
      <w:r>
        <w:t xml:space="preserve">See </w:t>
      </w:r>
      <w:r>
        <w:rPr>
          <w:b/>
        </w:rPr>
        <w:t xml:space="preserve">PUBLIC SECTOR EMPLOYMENT </w:t>
      </w:r>
      <w:r>
        <w:rPr>
          <w:b/>
        </w:rPr>
        <w:t xml:space="preserve">- Advice </w:t>
      </w:r>
      <w:r>
        <w:t>for records relating to the provision of advice to agencies undertaking negotiations with unions</w:t>
      </w:r>
    </w:p>
    <w:p>
      <w:r>
        <w:t xml:space="preserve">See </w:t>
      </w:r>
      <w:r>
        <w:rPr>
          <w:b/>
        </w:rPr>
        <w:t xml:space="preserve">PUBLIC SECTOR EMPLOYMENT </w:t>
      </w:r>
      <w:r>
        <w:rPr>
          <w:b/>
        </w:rPr>
        <w:t xml:space="preserve">- Advocacy </w:t>
      </w:r>
      <w:r>
        <w:t>for submissions or representations to courts or tribunals on industrial relations matters</w:t>
      </w:r>
    </w:p>
    <w:p>
      <w:r>
        <w:t xml:space="preserve">See </w:t>
      </w:r>
      <w:r>
        <w:rPr>
          <w:b/>
        </w:rPr>
        <w:t xml:space="preserve">PUBLIC SECTOR EMPLOYMENT </w:t>
      </w:r>
      <w:r>
        <w:rPr>
          <w:b/>
        </w:rPr>
        <w:t xml:space="preserve">- Reviewing </w:t>
      </w:r>
      <w:r>
        <w:t>for records relating to reviews of agency bargaining claims against service wide guidelines</w:t>
      </w:r>
    </w:p>
    <w:p>
      <w:r>
        <w:t xml:space="preserve">See </w:t>
      </w:r>
      <w:r>
        <w:t xml:space="preserve">General Retention and Disposal Authority </w:t>
      </w:r>
      <w:r>
        <w:rPr>
          <w:i/>
        </w:rPr>
        <w:t xml:space="preserve">Administrative records </w:t>
      </w:r>
      <w:r>
        <w:rPr>
          <w:b/>
        </w:rPr>
        <w:t xml:space="preserve">INDUSTRIAL RELATIONS </w:t>
      </w:r>
      <w:r>
        <w:rPr>
          <w:b/>
        </w:rPr>
        <w:t xml:space="preserve">- Agreements </w:t>
      </w:r>
      <w:r>
        <w:t>for records relating to workplace or other agreements that the agency negotiates with its own employees.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7.4.1</w:t>
            </w:r>
          </w:p>
          <w:p>
            <w:pPr>
              <w:spacing w:after="0"/>
            </w:pPr>
            <w:r>
              <w:rPr>
                <w:rStyle w:val="HiddenChar"/>
              </w:rPr>
              <w:t>PUBLIC SECTOR EMPLOYMENT - Industrial awards and agreements</w:t>
            </w:r>
          </w:p>
        </w:tc>
        <w:tc>
          <w:tcPr>
            <w:tcW w:w="5812" w:type="dxa"/>
          </w:tcPr>
          <w:p>
            <w:r>
              <w:t xml:space="preserve">Records relating to the negotiation of awards and agreements governing public sector employment conditions. Records include final versions of industrial awards and agreements and any variations, minutes of meetings or consultation processes, correspondence relating to the negotiation  of terms and conditions etc.</w:t>
            </w:r>
          </w:p>
        </w:tc>
        <w:tc>
          <w:tcPr>
            <w:tcW w:w="2268" w:type="dxa"/>
          </w:tcPr>
          <w:p>
            <w:r>
              <w:t>Required as State archives</w:t>
            </w:r>
          </w:p>
        </w:tc>
      </w:tr>
    </w:tbl>
    <w:p>
      <w:pPr>
        <w:pStyle w:val="Heading2"/>
        <w:spacing w:after="0"/>
      </w:pPr>
      <w:bookmarkStart w:id="5" w:name="id41"/>
      <w:r>
        <w:t xml:space="preserve">7.5.0 </w:t>
      </w:r>
      <w:r>
        <w:t>Learning And Development (Training)</w:t>
      </w:r>
      <w:bookmarkEnd w:id="5"/>
    </w:p>
    <w:p>
      <w:r>
        <w:t xml:space="preserve">Entries superseded by FA329, </w:t>
      </w:r>
      <w:r>
        <w:rPr>
          <w:i/>
        </w:rPr>
        <w:r>
          <w:t xml:space="preserve">Public sector workforce planning and management.</w:t>
        </w:r>
      </w:r>
    </w:p>
    <w:p>
      <w:r>
        <w:t xml:space="preserve">See </w:t>
      </w:r>
      <w:r>
        <w:t xml:space="preserve">General Retention and Disposal Authority </w:t>
      </w:r>
      <w:r>
        <w:rPr>
          <w:i/>
        </w:rPr>
        <w:t xml:space="preserve">Administrative records </w:t>
      </w:r>
      <w:r>
        <w:rPr>
          <w:b/>
        </w:rPr>
        <w:t xml:space="preserve">STRATEGIC MANAGEMENT </w:t>
      </w:r>
      <w:r>
        <w:rPr>
          <w:b/>
        </w:rPr>
        <w:t xml:space="preserve">- Joint ventures </w:t>
      </w:r>
      <w:r>
        <w:t>for records relating to the development of programs and agreements with other State and federal government agencies or with service providers.</w:t>
      </w:r>
    </w:p>
    <w:p>
      <w:r>
        <w:t xml:space="preserve">See </w:t>
      </w:r>
      <w:r>
        <w:t xml:space="preserve">General Retention and Disposal Authority </w:t>
      </w:r>
      <w:r>
        <w:rPr>
          <w:i/>
        </w:rPr>
        <w:t xml:space="preserve">Administrative records </w:t>
      </w:r>
      <w:r>
        <w:rPr>
          <w:b/>
        </w:rPr>
        <w:t xml:space="preserve">STRATEGIC MANAGEMENT </w:t>
      </w:r>
      <w:r>
        <w:rPr>
          <w:b/>
        </w:rPr>
        <w:t xml:space="preserve">- Planning </w:t>
      </w:r>
      <w:r>
        <w:t>for records of operational plans for delivering programs</w:t>
      </w:r>
    </w:p>
    <w:p>
      <w:r>
        <w:t xml:space="preserve">See </w:t>
      </w:r>
      <w:r>
        <w:t xml:space="preserve">General Retention and Disposal Authority </w:t>
      </w:r>
      <w:r>
        <w:rPr>
          <w:i/>
        </w:rPr>
        <w:t xml:space="preserve">Administrative records </w:t>
      </w:r>
      <w:r>
        <w:rPr>
          <w:b/>
        </w:rPr>
        <w:t xml:space="preserve">TENDERING or CONTRACTING OUT </w:t>
      </w:r>
      <w:r>
        <w:t>for records relating to the issue and assessment of tenders for the provision of courses or training services or the evaluation of contracted service providers</w:t>
      </w:r>
    </w:p>
    <w:p>
      <w:pPr>
        <w:pStyle w:val="Heading2"/>
        <w:spacing w:after="0"/>
      </w:pPr>
      <w:bookmarkStart w:id="6" w:name="id42"/>
      <w:r>
        <w:t xml:space="preserve">7.6.0 </w:t>
      </w:r>
      <w:r>
        <w:t>Policy</w:t>
      </w:r>
      <w:bookmarkEnd w:id="6"/>
    </w:p>
    <w:p>
      <w:r>
        <w:t xml:space="preserve">Entries superseded by FA329, </w:t>
      </w:r>
      <w:r>
        <w:rPr>
          <w:i/>
        </w:rPr>
        <w:r>
          <w:t xml:space="preserve">Public sector workforce planning and management.</w:t>
        </w:r>
      </w:r>
    </w:p>
    <w:p>
      <w:pPr>
        <w:pStyle w:val="Heading2"/>
        <w:spacing w:after="0"/>
      </w:pPr>
      <w:bookmarkStart w:id="7" w:name="id43"/>
      <w:r>
        <w:t xml:space="preserve">7.7.0 </w:t>
      </w:r>
      <w:r>
        <w:t>Workforce planning &amp; management</w:t>
      </w:r>
      <w:bookmarkEnd w:id="7"/>
    </w:p>
    <w:p>
      <w:r>
        <w:t xml:space="preserve">Entries 7.7.1 to 7.7.7 superseded by FA329, </w:t>
      </w:r>
      <w:r>
        <w:rPr>
          <w:i/>
        </w:rPr>
        <w:r>
          <w:t xml:space="preserve">Public sector workforce planning and management.</w:t>
        </w:r>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7.7.8</w:t>
            </w:r>
          </w:p>
          <w:p>
            <w:pPr>
              <w:spacing w:after="0"/>
            </w:pPr>
            <w:r>
              <w:rPr>
                <w:rStyle w:val="HiddenChar"/>
              </w:rPr>
              <w:t>PUBLIC SECTOR EMPLOYMENT - Workforce planning &amp; management</w:t>
            </w:r>
          </w:p>
        </w:tc>
        <w:tc>
          <w:tcPr>
            <w:tcW w:w="5812" w:type="dxa"/>
          </w:tcPr>
          <w:p>
            <w:r>
              <w:t xml:space="preserve">Record relating to applications for exemptions to advertise Senior Executive Service (SES) positions. Records include requests received and decisions on the applications.</w:t>
            </w:r>
          </w:p>
        </w:tc>
        <w:tc>
          <w:tcPr>
            <w:tcW w:w="2268" w:type="dxa"/>
          </w:tcPr>
          <w:p>
            <w:r>
              <w:t>Retain minimum of 5 years after action completed, then destroy</w:t>
            </w:r>
          </w:p>
        </w:tc>
      </w:tr>
    </w:tbl>
    <w:p>
      <w:pPr>
        <w:pStyle w:val="Heading1"/>
        <w:pageBreakBefore/>
        <w:spacing w:after="0"/>
      </w:pPr>
      <w:bookmarkStart w:id="8" w:name="id44"/>
      <w:r>
        <w:t xml:space="preserve">8.0.0 </w:t>
      </w:r>
      <w:r>
        <w:t>PUBLIC SECTOR PERFORMANCE REVIEW</w:t>
      </w:r>
      <w:bookmarkEnd w:id="8"/>
    </w:p>
    <w:p>
      <w:r>
        <w:t xml:space="preserve">The function of reviewing regulatory regimes and public sector structures, performance and accountability and developing sector-wide, service or agency specific strategies for improvement. </w:t>
      </w:r>
    </w:p>
    <w:p>
      <w:pPr>
        <w:pStyle w:val="Heading2"/>
        <w:spacing w:after="0"/>
      </w:pPr>
      <w:bookmarkStart w:id="1" w:name="id45"/>
      <w:r>
        <w:t xml:space="preserve">8.1.0 </w:t>
      </w:r>
      <w:r>
        <w:t>Program or agency performance review and improvement</w:t>
      </w:r>
      <w:bookmarkEnd w:id="1"/>
    </w:p>
    <w:p>
      <w:r>
        <w:t xml:space="preserve">The activities involved in evaluating or examining the performance of government programs or agencies and the monitoring of initiatives or management of projects to achieve improved program outcomes or address issues affecting agency performance. Reviews may include agency and/or program reviews, major structural reviews involving multiple agencies, targeted agency or functional area reviews as requested by Cabinet.</w:t>
      </w:r>
    </w:p>
    <w:p>
      <w:r>
        <w:t xml:space="preserve">See </w:t>
      </w:r>
      <w:r>
        <w:rPr>
          <w:b/>
        </w:rPr>
        <w:t xml:space="preserve">COMMUNITY SUPPORT </w:t>
      </w:r>
      <w:r>
        <w:rPr>
          <w:b/>
        </w:rPr>
        <w:t xml:space="preserve">- Service coordination </w:t>
      </w:r>
      <w:r>
        <w:t>for records relating to coordination of services in regional areas to address local conditions or issues and reporting through regional coordination groups.</w:t>
      </w:r>
    </w:p>
    <w:p>
      <w:r>
        <w:t xml:space="preserve">See </w:t>
      </w:r>
      <w:r>
        <w:t xml:space="preserve">General Retention and Disposal Authority </w:t>
      </w:r>
      <w:r>
        <w:rPr>
          <w:i/>
        </w:rPr>
        <w:t xml:space="preserve">Administrative records </w:t>
      </w:r>
      <w:r>
        <w:rPr>
          <w:b/>
        </w:rPr>
        <w:t xml:space="preserve">CONTRACTING-OUT </w:t>
      </w:r>
      <w:r>
        <w:t>for records relating to contracting out of projects.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8.1.1</w:t>
            </w:r>
          </w:p>
          <w:p>
            <w:pPr>
              <w:spacing w:after="0"/>
            </w:pPr>
            <w:r>
              <w:rPr>
                <w:rStyle w:val="HiddenChar"/>
              </w:rPr>
              <w:t>PUBLIC SECTOR PERFORMANCE REVIEW - Program or agency performance review and improvement</w:t>
            </w:r>
          </w:p>
        </w:tc>
        <w:tc>
          <w:tcPr>
            <w:tcW w:w="5812" w:type="dxa"/>
          </w:tcPr>
          <w:p>
            <w:r>
              <w:t xml:space="preserve">Records relating to projects initiated for the purpose of assisting Government agencies to achieve better service outcomes and address impediments to effective performance. Includes Premier's priority projects. Records include project plans, project briefs, liaison and meetings with agencies, action plans, final reports.</w:t>
            </w:r>
          </w:p>
        </w:tc>
        <w:tc>
          <w:tcPr>
            <w:tcW w:w="2268" w:type="dxa"/>
          </w:tcPr>
          <w:p>
            <w:r>
              <w:t>Required as State archives</w:t>
            </w:r>
          </w:p>
        </w:tc>
      </w:tr>
      <w:tr>
        <w:trPr>
          <w:jc w:val="center"/>
        </w:trPr>
        <w:tc>
          <w:tcPr>
            <w:tcW w:w="992" w:type="dxa"/>
          </w:tcPr>
          <w:p>
            <w:pPr>
              <w:spacing w:after="0"/>
            </w:pPr>
            <w:r>
              <w:t>8.1.2</w:t>
            </w:r>
          </w:p>
          <w:p>
            <w:pPr>
              <w:spacing w:after="0"/>
            </w:pPr>
            <w:r>
              <w:rPr>
                <w:rStyle w:val="HiddenChar"/>
              </w:rPr>
              <w:t>PUBLIC SECTOR PERFORMANCE REVIEW - Program or agency performance review and improvement</w:t>
            </w:r>
          </w:p>
        </w:tc>
        <w:tc>
          <w:tcPr>
            <w:tcW w:w="5812" w:type="dxa"/>
          </w:tcPr>
          <w:p>
            <w:r>
              <w:t xml:space="preserve">Records relating to reviews of government agencies, programs and functions for the purpose of providing recommendations to government on improvements to the cost and quality of service delivery. Includes reports to the Council on the Cost and Quality of Government.  Records include project plans, advice to the Premier, establishment and operation of the project steering committee, correspondence with the agency, review working papers including drafts that have been approved or have been circulated for comment, research (including both documentary and survey data), discussion papers, reports to the project steering committee, review chronology, final reports or submissions relating to the findings and recommendations of the review, agency response to the review, implementation plans, monitoring schedule and correspondence of implementation.</w:t>
            </w:r>
          </w:p>
        </w:tc>
        <w:tc>
          <w:tcPr>
            <w:tcW w:w="2268" w:type="dxa"/>
          </w:tcPr>
          <w:p>
            <w:r>
              <w:t>Required as State archives</w:t>
            </w:r>
          </w:p>
        </w:tc>
      </w:tr>
      <w:tr>
        <w:trPr>
          <w:jc w:val="center"/>
        </w:trPr>
        <w:tc>
          <w:tcPr>
            <w:tcW w:w="992" w:type="dxa"/>
          </w:tcPr>
          <w:p>
            <w:pPr>
              <w:spacing w:after="0"/>
            </w:pPr>
            <w:r>
              <w:t>8.1.3</w:t>
            </w:r>
          </w:p>
          <w:p>
            <w:pPr>
              <w:spacing w:after="0"/>
            </w:pPr>
            <w:r>
              <w:rPr>
                <w:rStyle w:val="HiddenChar"/>
              </w:rPr>
              <w:t>PUBLIC SECTOR PERFORMANCE REVIEW - Program or agency performance review and improvement</w:t>
            </w:r>
          </w:p>
        </w:tc>
        <w:tc>
          <w:tcPr>
            <w:tcW w:w="5812" w:type="dxa"/>
          </w:tcPr>
          <w:p>
            <w:r>
              <w:t xml:space="preserve">Reference documentation compiled in relation to agencies under review. Includes copies of documents received from agencies under review such as agency guidelines and policies, background information on the agency or services, agency publications, excerpts from legislation and regulations.</w:t>
            </w:r>
          </w:p>
        </w:tc>
        <w:tc>
          <w:tcPr>
            <w:tcW w:w="2268" w:type="dxa"/>
          </w:tcPr>
          <w:p>
            <w:r>
              <w:t>Retain minimum of 5 years after action completed, then destroy</w:t>
            </w:r>
          </w:p>
        </w:tc>
      </w:tr>
    </w:tbl>
    <w:p>
      <w:pPr>
        <w:pStyle w:val="Heading2"/>
        <w:spacing w:after="0"/>
      </w:pPr>
      <w:bookmarkStart w:id="2" w:name="id46"/>
      <w:r>
        <w:t xml:space="preserve">8.2.0 </w:t>
      </w:r>
      <w:r>
        <w:t>Regulation review and reform</w:t>
      </w:r>
      <w:bookmarkEnd w:id="2"/>
    </w:p>
    <w:p>
      <w:r>
        <w:t xml:space="preserve">The processes involved in reviewing agency regulatory proposals, specific regulatory frameworks or areas and monitoring the implementation of regulatory reform processes. Includes development of guidelines and standards to assist Government agencies with development and review of legislation, regulations and other Statutory instruments.</w:t>
      </w:r>
    </w:p>
    <w:p>
      <w:r>
        <w:t xml:space="preserve">See </w:t>
      </w:r>
      <w:r>
        <w:rPr>
          <w:b/>
        </w:rPr>
        <w:t xml:space="preserve">PUBLIC SECTOR PERFORMANCE REVIEW </w:t>
      </w:r>
      <w:r>
        <w:rPr>
          <w:b/>
        </w:rPr>
        <w:t xml:space="preserve">- Reviewing </w:t>
      </w:r>
      <w:r>
        <w:t>for records relating to reviews of specific regulatory frameworks or areas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8.2.1</w:t>
            </w:r>
          </w:p>
          <w:p>
            <w:pPr>
              <w:spacing w:after="0"/>
            </w:pPr>
            <w:r>
              <w:rPr>
                <w:rStyle w:val="HiddenChar"/>
              </w:rPr>
              <w:t>PUBLIC SECTOR PERFORMANCE REVIEW - Regulation review and reform</w:t>
            </w:r>
          </w:p>
        </w:tc>
        <w:tc>
          <w:tcPr>
            <w:tcW w:w="5812" w:type="dxa"/>
          </w:tcPr>
          <w:p>
            <w:r>
              <w:t xml:space="preserve">Records relating to the assessment of regulatory proposals issued by Government agencies. Includes proposals that are not approved or proceeded with. Records include regulation statements submitted by agencies, assessments of regulatory proposals, consultations with agencies including meetings, amendments to proposals, advice to the Premier concerning a proposal, certificates of approval issued by the Premier or relevant Minister.</w:t>
            </w:r>
          </w:p>
        </w:tc>
        <w:tc>
          <w:tcPr>
            <w:tcW w:w="2268" w:type="dxa"/>
          </w:tcPr>
          <w:p>
            <w:r>
              <w:t>Required as State archives</w:t>
            </w:r>
          </w:p>
        </w:tc>
      </w:tr>
      <w:tr>
        <w:trPr>
          <w:jc w:val="center"/>
        </w:trPr>
        <w:tc>
          <w:tcPr>
            <w:tcW w:w="992" w:type="dxa"/>
          </w:tcPr>
          <w:p>
            <w:pPr>
              <w:spacing w:after="0"/>
            </w:pPr>
            <w:r>
              <w:t>8.2.2</w:t>
            </w:r>
          </w:p>
          <w:p>
            <w:pPr>
              <w:spacing w:after="0"/>
            </w:pPr>
            <w:r>
              <w:rPr>
                <w:rStyle w:val="HiddenChar"/>
              </w:rPr>
              <w:t>PUBLIC SECTOR PERFORMANCE REVIEW - Regulation review and reform</w:t>
            </w:r>
          </w:p>
        </w:tc>
        <w:tc>
          <w:tcPr>
            <w:tcW w:w="5812" w:type="dxa"/>
          </w:tcPr>
          <w:p>
            <w:r>
              <w:t xml:space="preserve">Records relating to the development of policies, standards and guidelines for the making and review of legislation, regulations and other Statutory instruments. Records include background research, draft versions of procedures containing significant changes/alterations or formally circulated for comment, reports analysing issues and the outcomes of consultation stakeholders etc.</w:t>
            </w:r>
          </w:p>
        </w:tc>
        <w:tc>
          <w:tcPr>
            <w:tcW w:w="2268" w:type="dxa"/>
          </w:tcPr>
          <w:p>
            <w:r>
              <w:t>Required as State archives</w:t>
            </w:r>
          </w:p>
        </w:tc>
      </w:tr>
      <w:tr>
        <w:trPr>
          <w:jc w:val="center"/>
        </w:trPr>
        <w:tc>
          <w:tcPr>
            <w:tcW w:w="992" w:type="dxa"/>
          </w:tcPr>
          <w:p>
            <w:pPr>
              <w:spacing w:after="0"/>
            </w:pPr>
            <w:r>
              <w:t>8.2.3</w:t>
            </w:r>
          </w:p>
          <w:p>
            <w:pPr>
              <w:spacing w:after="0"/>
            </w:pPr>
            <w:r>
              <w:rPr>
                <w:rStyle w:val="HiddenChar"/>
              </w:rPr>
              <w:t>PUBLIC SECTOR PERFORMANCE REVIEW - Regulation review and reform</w:t>
            </w:r>
          </w:p>
        </w:tc>
        <w:tc>
          <w:tcPr>
            <w:tcW w:w="5812" w:type="dxa"/>
          </w:tcPr>
          <w:p>
            <w:r>
              <w:t xml:space="preserve">Records relating to projects for improving regulation involving working with national or international organisations. Includes projects with the Council of Australian Governments and the Organisation of Economic Cooperation and Development. Records include project plans, meetings with project partners, project reports.</w:t>
            </w:r>
          </w:p>
        </w:tc>
        <w:tc>
          <w:tcPr>
            <w:tcW w:w="2268" w:type="dxa"/>
          </w:tcPr>
          <w:p>
            <w:r>
              <w:t>Required as State archives</w:t>
            </w:r>
          </w:p>
        </w:tc>
      </w:tr>
      <w:tr>
        <w:trPr>
          <w:jc w:val="center"/>
        </w:trPr>
        <w:tc>
          <w:tcPr>
            <w:tcW w:w="992" w:type="dxa"/>
          </w:tcPr>
          <w:p>
            <w:pPr>
              <w:spacing w:after="0"/>
            </w:pPr>
            <w:r>
              <w:t>8.2.4</w:t>
            </w:r>
          </w:p>
          <w:p>
            <w:pPr>
              <w:spacing w:after="0"/>
            </w:pPr>
            <w:r>
              <w:rPr>
                <w:rStyle w:val="HiddenChar"/>
              </w:rPr>
              <w:t>PUBLIC SECTOR PERFORMANCE REVIEW - Regulation review and reform</w:t>
            </w:r>
          </w:p>
        </w:tc>
        <w:tc>
          <w:tcPr>
            <w:tcW w:w="5812" w:type="dxa"/>
          </w:tcPr>
          <w:p>
            <w:r>
              <w:t xml:space="preserve">Records relating to reporting on recommendations for regulatory review or reform and monitoring and reporting on progress in implementing regulatory reform. Includes responding to recommendations arising from reviews carried out by organisations such as the Independent Pricing and Regulatory Tribunal.  Records include monitoring, research, consultation with agencies etc.</w:t>
            </w:r>
          </w:p>
        </w:tc>
        <w:tc>
          <w:tcPr>
            <w:tcW w:w="2268" w:type="dxa"/>
          </w:tcPr>
          <w:p>
            <w:r>
              <w:t>Required as State archives</w:t>
            </w:r>
          </w:p>
        </w:tc>
      </w:tr>
      <w:tr>
        <w:trPr>
          <w:jc w:val="center"/>
        </w:trPr>
        <w:tc>
          <w:tcPr>
            <w:tcW w:w="992" w:type="dxa"/>
          </w:tcPr>
          <w:p>
            <w:pPr>
              <w:spacing w:after="0"/>
            </w:pPr>
            <w:r>
              <w:t>8.2.5</w:t>
            </w:r>
          </w:p>
          <w:p>
            <w:pPr>
              <w:spacing w:after="0"/>
            </w:pPr>
            <w:r>
              <w:rPr>
                <w:rStyle w:val="HiddenChar"/>
              </w:rPr>
              <w:t>PUBLIC SECTOR PERFORMANCE REVIEW - Regulation review and reform</w:t>
            </w:r>
          </w:p>
        </w:tc>
        <w:tc>
          <w:tcPr>
            <w:tcW w:w="5812" w:type="dxa"/>
          </w:tcPr>
          <w:p>
            <w:r>
              <w:t xml:space="preserve">Records relating to the provision of general advice to Government agencies concerning regulatory proposal development processes, such as advice concerning the application, requirements or interpretation of standards or guidelines. </w:t>
            </w:r>
          </w:p>
          <w:p>
            <w:r>
              <w:t xml:space="preserve">(For advice provided in relation the actual assessment of a submitted proposal use the disposal class relating to assessments of regulatory proposals.)</w:t>
            </w:r>
          </w:p>
        </w:tc>
        <w:tc>
          <w:tcPr>
            <w:tcW w:w="2268" w:type="dxa"/>
          </w:tcPr>
          <w:p>
            <w:r>
              <w:t>Retain minimum of 20 years after action completed, then destroy</w:t>
            </w:r>
          </w:p>
        </w:tc>
      </w:tr>
      <w:tr>
        <w:trPr>
          <w:jc w:val="center"/>
        </w:trPr>
        <w:tc>
          <w:tcPr>
            <w:tcW w:w="992" w:type="dxa"/>
          </w:tcPr>
          <w:p>
            <w:pPr>
              <w:spacing w:after="0"/>
            </w:pPr>
            <w:r>
              <w:t>8.2.6</w:t>
            </w:r>
          </w:p>
          <w:p>
            <w:pPr>
              <w:spacing w:after="0"/>
            </w:pPr>
            <w:r>
              <w:rPr>
                <w:rStyle w:val="HiddenChar"/>
              </w:rPr>
              <w:t>PUBLIC SECTOR PERFORMANCE REVIEW - Regulation review and reform</w:t>
            </w:r>
          </w:p>
        </w:tc>
        <w:tc>
          <w:tcPr>
            <w:tcW w:w="5812" w:type="dxa"/>
          </w:tcPr>
          <w:p>
            <w:r>
              <w:t xml:space="preserve">Records relating to the advocacy within Government of improved regulatory performance. Records include submissions made to inquiries, advice made to the Premier, Cabinet and the Minister responsible for improving regulation.</w:t>
            </w:r>
          </w:p>
        </w:tc>
        <w:tc>
          <w:tcPr>
            <w:tcW w:w="2268" w:type="dxa"/>
          </w:tcPr>
          <w:p>
            <w:r>
              <w:t>Required as State archives</w:t>
            </w:r>
          </w:p>
        </w:tc>
      </w:tr>
      <w:tr>
        <w:trPr>
          <w:jc w:val="center"/>
        </w:trPr>
        <w:tc>
          <w:tcPr>
            <w:tcW w:w="992" w:type="dxa"/>
          </w:tcPr>
          <w:p>
            <w:pPr>
              <w:spacing w:after="0"/>
            </w:pPr>
            <w:r>
              <w:t>8.2.7</w:t>
            </w:r>
          </w:p>
          <w:p>
            <w:pPr>
              <w:spacing w:after="0"/>
            </w:pPr>
            <w:r>
              <w:rPr>
                <w:rStyle w:val="HiddenChar"/>
              </w:rPr>
              <w:t>PUBLIC SECTOR PERFORMANCE REVIEW - Regulation review and reform</w:t>
            </w:r>
          </w:p>
        </w:tc>
        <w:tc>
          <w:tcPr>
            <w:tcW w:w="5812" w:type="dxa"/>
          </w:tcPr>
          <w:p>
            <w:r>
              <w:t xml:space="preserve">Records of statistics, surveys and other raw data collected or collated for the purposes of regulatory review or reform projects.</w:t>
            </w:r>
          </w:p>
        </w:tc>
        <w:tc>
          <w:tcPr>
            <w:tcW w:w="2268" w:type="dxa"/>
          </w:tcPr>
          <w:p>
            <w:r>
              <w:t>Required as State archives</w:t>
            </w:r>
          </w:p>
        </w:tc>
      </w:tr>
      <w:tr>
        <w:trPr>
          <w:jc w:val="center"/>
        </w:trPr>
        <w:tc>
          <w:tcPr>
            <w:tcW w:w="992" w:type="dxa"/>
          </w:tcPr>
          <w:p>
            <w:pPr>
              <w:spacing w:after="0"/>
            </w:pPr>
            <w:r>
              <w:t>8.2.8</w:t>
            </w:r>
          </w:p>
          <w:p>
            <w:pPr>
              <w:spacing w:after="0"/>
            </w:pPr>
            <w:r>
              <w:rPr>
                <w:rStyle w:val="HiddenChar"/>
              </w:rPr>
              <w:t>PUBLIC SECTOR PERFORMANCE REVIEW - Regulation review and reform</w:t>
            </w:r>
          </w:p>
        </w:tc>
        <w:tc>
          <w:tcPr>
            <w:tcW w:w="5812" w:type="dxa"/>
          </w:tcPr>
          <w:p>
            <w:r>
              <w:t xml:space="preserve">Records relating to projects for the review of regulatory regimes in NSW. Records include issues papers, briefs to Cabinet, Cabinet endorsement of the project scope, project plans, liaison and meetings with other agencies, consultation and meetings with industry stakeholders, legal research, interim recommendations in made in consultation with the responsible agencies, final reports with recommendations made to Cabinet, draft legislation.</w:t>
            </w:r>
          </w:p>
        </w:tc>
        <w:tc>
          <w:tcPr>
            <w:tcW w:w="2268" w:type="dxa"/>
          </w:tcPr>
          <w:p>
            <w:r>
              <w:t>Required as State archives</w:t>
            </w:r>
          </w:p>
        </w:tc>
      </w:tr>
      <w:tr>
        <w:trPr>
          <w:jc w:val="center"/>
        </w:trPr>
        <w:tc>
          <w:tcPr>
            <w:tcW w:w="992" w:type="dxa"/>
          </w:tcPr>
          <w:p>
            <w:pPr>
              <w:spacing w:after="0"/>
            </w:pPr>
            <w:r>
              <w:t>8.2.9</w:t>
            </w:r>
          </w:p>
          <w:p>
            <w:pPr>
              <w:spacing w:after="0"/>
            </w:pPr>
            <w:r>
              <w:rPr>
                <w:rStyle w:val="HiddenChar"/>
              </w:rPr>
              <w:t>PUBLIC SECTOR PERFORMANCE REVIEW - Regulation review and reform</w:t>
            </w:r>
          </w:p>
        </w:tc>
        <w:tc>
          <w:tcPr>
            <w:tcW w:w="5812" w:type="dxa"/>
          </w:tcPr>
          <w:p>
            <w:r>
              <w:t xml:space="preserve">Reference documentation compiled in relation to regulation review projects. Includes copies of documents collected or received from agencies in relation to the review such as guidelines and policies, agency publications, excerpts from legislation and regulations, literature reviews.</w:t>
            </w:r>
          </w:p>
        </w:tc>
        <w:tc>
          <w:tcPr>
            <w:tcW w:w="2268" w:type="dxa"/>
          </w:tcPr>
          <w:p>
            <w:r>
              <w:t>Retain minimum of 5 years after action completed, then destroy</w:t>
            </w:r>
          </w:p>
        </w:tc>
      </w:tr>
    </w:tbl>
    <w:p>
      <w:pPr>
        <w:pStyle w:val="Heading1"/>
        <w:pageBreakBefore/>
        <w:spacing w:after="0"/>
      </w:pPr>
      <w:bookmarkStart w:id="9" w:name="id47"/>
      <w:r>
        <w:t xml:space="preserve">9.0.0 </w:t>
      </w:r>
      <w:r>
        <w:t>STATE INFRASTRUCTURE PROJECTS</w:t>
      </w:r>
      <w:bookmarkEnd w:id="9"/>
    </w:p>
    <w:p>
      <w:r>
        <w:t xml:space="preserve">The function of facilitating the planning and development of State infrastructure.</w:t>
      </w:r>
    </w:p>
    <w:p>
      <w:r>
        <w:t xml:space="preserve">See </w:t>
      </w:r>
      <w:r>
        <w:t xml:space="preserve">Functional Retention and Disposal Authority </w:t>
      </w:r>
      <w:r>
        <w:rPr>
          <w:i/>
        </w:rPr>
        <w:t xml:space="preserve">Infrastructure </w:t>
      </w:r>
      <w:r>
        <w:t>for records relating to infrastructure assurance and delivery of infrastructure projects.</w:t>
      </w:r>
    </w:p>
    <w:p>
      <w:r>
        <w:t xml:space="preserve">See </w:t>
      </w:r>
      <w:r>
        <w:t xml:space="preserve">General Retention and Disposal Authority </w:t>
      </w:r>
      <w:r>
        <w:rPr>
          <w:i/>
        </w:rPr>
        <w:t xml:space="preserve">Administrative records </w:t>
      </w:r>
      <w:r>
        <w:rPr>
          <w:b/>
        </w:rPr>
        <w:t xml:space="preserve">GOVERNMENT RELATIONS </w:t>
      </w:r>
      <w:r>
        <w:t>for records relating to submissions made to the Commonwealth concerning proposed infrastructure projects</w:t>
      </w:r>
    </w:p>
    <w:p>
      <w:r>
        <w:t xml:space="preserve">See </w:t>
      </w:r>
      <w:r>
        <w:t xml:space="preserve">General Retention and Disposal Authority </w:t>
      </w:r>
      <w:r>
        <w:rPr>
          <w:i/>
        </w:rPr>
        <w:t xml:space="preserve">Administrative records </w:t>
      </w:r>
      <w:r>
        <w:rPr>
          <w:b/>
        </w:rPr>
        <w:t xml:space="preserve">STRATEGIC MANAGEMENT </w:t>
      </w:r>
      <w:r>
        <w:rPr>
          <w:b/>
        </w:rPr>
        <w:t xml:space="preserve">- Policy &amp; Procedures </w:t>
      </w:r>
      <w:r>
        <w:t>for records relating to policy, procedures and guidelines for infrastructure projects.</w:t>
      </w:r>
    </w:p>
    <w:p>
      <w:pPr>
        <w:pStyle w:val="Heading1"/>
        <w:pageBreakBefore/>
        <w:spacing w:after="0"/>
      </w:pPr>
      <w:bookmarkStart w:id="10" w:name="id48"/>
      <w:r>
        <w:t xml:space="preserve">10.0.0 </w:t>
      </w:r>
      <w:r>
        <w:t>STRATEGIC POLICY AND ADVICE</w:t>
      </w:r>
      <w:bookmarkEnd w:id="10"/>
    </w:p>
    <w:p>
      <w:r>
        <w:t xml:space="preserve">The function of providing policy advice to the Premier, Cabinet, Executive, Governing bodies, etc.</w:t>
      </w:r>
    </w:p>
    <w:p>
      <w:r>
        <w:t xml:space="preserve">See </w:t>
      </w:r>
      <w:r>
        <w:t xml:space="preserve">General Retention and Disposal Authority </w:t>
      </w:r>
      <w:r>
        <w:rPr>
          <w:i/>
        </w:rPr>
        <w:t xml:space="preserve">Administrative records </w:t>
      </w:r>
      <w:r>
        <w:rPr>
          <w:b/>
        </w:rPr>
        <w:t xml:space="preserve">COMMITTEES </w:t>
      </w:r>
      <w:r>
        <w:t>for records relating to the establishment of and participation in intergovernmental and interagency committees</w:t>
      </w:r>
    </w:p>
    <w:p>
      <w:r>
        <w:t xml:space="preserve">See </w:t>
      </w:r>
      <w:r>
        <w:t xml:space="preserve">General Retention and Disposal Authority </w:t>
      </w:r>
      <w:r>
        <w:rPr>
          <w:i/>
        </w:rPr>
        <w:t xml:space="preserve">Administrative records </w:t>
      </w:r>
      <w:r>
        <w:rPr>
          <w:b/>
        </w:rPr>
        <w:t xml:space="preserve">GOVERNMENT RELATIONS </w:t>
      </w:r>
      <w:r>
        <w:rPr>
          <w:b/>
        </w:rPr>
        <w:t xml:space="preserve">- Agreements </w:t>
      </w:r>
      <w:r>
        <w:t>for records relating to intergovernmental agreements between NSW and the Commonwealth or other States.</w:t>
      </w:r>
    </w:p>
    <w:p>
      <w:pPr>
        <w:pStyle w:val="Heading2"/>
        <w:spacing w:after="0"/>
      </w:pPr>
      <w:bookmarkStart w:id="1" w:name="id49"/>
      <w:r>
        <w:t xml:space="preserve">10.1.0 </w:t>
      </w:r>
      <w:r>
        <w:t>Legal Policy</w:t>
      </w:r>
      <w:bookmarkEnd w:id="1"/>
    </w:p>
    <w:p>
      <w:r>
        <w:t xml:space="preserve">The activities involved in providing legal advice to the Premier and Cabinet on issues of public policy governing the whole of the State, intergovernment relations and State and federal constitutional matters.</w:t>
      </w:r>
    </w:p>
    <w:p>
      <w:r>
        <w:t xml:space="preserve">See </w:t>
      </w:r>
      <w:r>
        <w:t xml:space="preserve">General Retention and Disposal Authority </w:t>
      </w:r>
      <w:r>
        <w:rPr>
          <w:i/>
        </w:rPr>
        <w:t xml:space="preserve">Administrative records </w:t>
      </w:r>
      <w:r>
        <w:rPr>
          <w:b/>
        </w:rPr>
        <w:t xml:space="preserve">LEGAL SERVICES </w:t>
      </w:r>
      <w:r>
        <w:rPr>
          <w:b/>
        </w:rPr>
        <w:t xml:space="preserve">- Advice </w:t>
      </w:r>
      <w:r>
        <w:t>for records relating to legal advice provided to Premier &amp; Cabinet</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10.1.1</w:t>
            </w:r>
          </w:p>
          <w:p>
            <w:pPr>
              <w:spacing w:after="0"/>
            </w:pPr>
            <w:r>
              <w:rPr>
                <w:rStyle w:val="HiddenChar"/>
              </w:rPr>
              <w:t>STRATEGIC POLICY AND ADVICE - Legal Policy</w:t>
            </w:r>
          </w:p>
        </w:tc>
        <w:tc>
          <w:tcPr>
            <w:tcW w:w="5812" w:type="dxa"/>
          </w:tcPr>
          <w:p>
            <w:r>
              <w:t xml:space="preserve">Records relating to election writs for NSW State elections and by-elections.</w:t>
            </w:r>
          </w:p>
        </w:tc>
        <w:tc>
          <w:tcPr>
            <w:tcW w:w="2268" w:type="dxa"/>
          </w:tcPr>
          <w:p>
            <w:r>
              <w:t>Required as State archives</w:t>
            </w:r>
          </w:p>
        </w:tc>
      </w:tr>
      <w:tr>
        <w:trPr>
          <w:jc w:val="center"/>
        </w:trPr>
        <w:tc>
          <w:tcPr>
            <w:tcW w:w="992" w:type="dxa"/>
          </w:tcPr>
          <w:p>
            <w:pPr>
              <w:spacing w:after="0"/>
            </w:pPr>
            <w:r>
              <w:t>10.1.2</w:t>
            </w:r>
          </w:p>
          <w:p>
            <w:pPr>
              <w:spacing w:after="0"/>
            </w:pPr>
            <w:r>
              <w:rPr>
                <w:rStyle w:val="HiddenChar"/>
              </w:rPr>
              <w:t>STRATEGIC POLICY AND ADVICE - Legal Policy</w:t>
            </w:r>
          </w:p>
        </w:tc>
        <w:tc>
          <w:tcPr>
            <w:tcW w:w="5812" w:type="dxa"/>
          </w:tcPr>
          <w:p>
            <w:r>
              <w:t xml:space="preserve">Records relating to the provision of advice to the Premier concerning the administration of casual vacancies within the Parliament.</w:t>
            </w:r>
          </w:p>
        </w:tc>
        <w:tc>
          <w:tcPr>
            <w:tcW w:w="2268" w:type="dxa"/>
          </w:tcPr>
          <w:p>
            <w:r>
              <w:t>Required as State archives</w:t>
            </w:r>
          </w:p>
        </w:tc>
      </w:tr>
      <w:tr>
        <w:trPr>
          <w:jc w:val="center"/>
        </w:trPr>
        <w:tc>
          <w:tcPr>
            <w:tcW w:w="992" w:type="dxa"/>
          </w:tcPr>
          <w:p>
            <w:pPr>
              <w:spacing w:after="0"/>
            </w:pPr>
            <w:r>
              <w:t>10.1.3</w:t>
            </w:r>
          </w:p>
          <w:p>
            <w:pPr>
              <w:spacing w:after="0"/>
            </w:pPr>
            <w:r>
              <w:rPr>
                <w:rStyle w:val="HiddenChar"/>
              </w:rPr>
              <w:t>STRATEGIC POLICY AND ADVICE - Legal Policy</w:t>
            </w:r>
          </w:p>
        </w:tc>
        <w:tc>
          <w:tcPr>
            <w:tcW w:w="5812" w:type="dxa"/>
          </w:tcPr>
          <w:p>
            <w:r>
              <w:t xml:space="preserve">Records relating to the receipt of advice from the Legislative Assembly on election timetables and the return of writs for the administration of casual vacancies in the NSW legislative assembly.</w:t>
            </w:r>
          </w:p>
        </w:tc>
        <w:tc>
          <w:tcPr>
            <w:tcW w:w="2268" w:type="dxa"/>
          </w:tcPr>
          <w:p>
            <w:r>
              <w:t>Retain minimum of 5 years after action completed, then destroy</w:t>
            </w:r>
          </w:p>
        </w:tc>
      </w:tr>
      <w:tr>
        <w:trPr>
          <w:jc w:val="center"/>
        </w:trPr>
        <w:tc>
          <w:tcPr>
            <w:tcW w:w="992" w:type="dxa"/>
          </w:tcPr>
          <w:p>
            <w:pPr>
              <w:spacing w:after="0"/>
            </w:pPr>
            <w:r>
              <w:t>10.1.4</w:t>
            </w:r>
          </w:p>
          <w:p>
            <w:pPr>
              <w:spacing w:after="0"/>
            </w:pPr>
            <w:r>
              <w:rPr>
                <w:rStyle w:val="HiddenChar"/>
              </w:rPr>
              <w:t>STRATEGIC POLICY AND ADVICE - Legal Policy</w:t>
            </w:r>
          </w:p>
        </w:tc>
        <w:tc>
          <w:tcPr>
            <w:tcW w:w="5812" w:type="dxa"/>
          </w:tcPr>
          <w:p>
            <w:r>
              <w:t xml:space="preserve">Records relating to the registration of lobbyists. Includes the register, application forms, advice and decisions on applications, notification of applicants.</w:t>
            </w:r>
          </w:p>
        </w:tc>
        <w:tc>
          <w:tcPr>
            <w:tcW w:w="2268" w:type="dxa"/>
          </w:tcPr>
          <w:p>
            <w:r>
              <w:t>Required as State archives</w:t>
            </w:r>
          </w:p>
        </w:tc>
      </w:tr>
    </w:tbl>
    <w:p>
      <w:pPr>
        <w:pStyle w:val="Heading2"/>
        <w:spacing w:after="0"/>
      </w:pPr>
      <w:bookmarkStart w:id="2" w:name="id50"/>
      <w:r>
        <w:t xml:space="preserve">10.2.0 </w:t>
      </w:r>
      <w:r>
        <w:t>Legislation</w:t>
      </w:r>
      <w:bookmarkEnd w:id="2"/>
    </w:p>
    <w:p>
      <w:r>
        <w:t xml:space="preserve">The process of making laws. </w:t>
      </w:r>
    </w:p>
    <w:p>
      <w:r>
        <w:t xml:space="preserve">See </w:t>
      </w:r>
      <w:r>
        <w:rPr>
          <w:b/>
        </w:rPr>
        <w:t xml:space="preserve">STRATEGIC POLICY AND ADVICE </w:t>
      </w:r>
      <w:r>
        <w:rPr>
          <w:b/>
        </w:rPr>
        <w:t xml:space="preserve">- Advice </w:t>
      </w:r>
      <w:r>
        <w:t>for records relating to advice provided to the Premier on the legislative proposals of other agencies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10.2.1</w:t>
            </w:r>
          </w:p>
          <w:p>
            <w:pPr>
              <w:spacing w:after="0"/>
            </w:pPr>
            <w:r>
              <w:rPr>
                <w:rStyle w:val="HiddenChar"/>
              </w:rPr>
              <w:t>STRATEGIC POLICY AND ADVICE - Legislation</w:t>
            </w:r>
          </w:p>
        </w:tc>
        <w:tc>
          <w:tcPr>
            <w:tcW w:w="5812" w:type="dxa"/>
          </w:tcPr>
          <w:p>
            <w:r>
              <w:t xml:space="preserve">Records relating to the provision of advice and support to agencies on the development of legislation where the portfolio agency has primary carriage of the development of the legislation. Records include briefing notes and minutes providing advice to the Minister, comments on Cabinet submissions and proposals, correspondence, copies of drafting material including regulation impact statements, Explanatory Memoranda, reading speeches prepared for the portfolio Minister etc.</w:t>
            </w:r>
          </w:p>
        </w:tc>
        <w:tc>
          <w:tcPr>
            <w:tcW w:w="2268" w:type="dxa"/>
          </w:tcPr>
          <w:p>
            <w:r>
              <w:t>Required as State archives</w:t>
            </w:r>
          </w:p>
        </w:tc>
      </w:tr>
      <w:tr>
        <w:trPr>
          <w:jc w:val="center"/>
        </w:trPr>
        <w:tc>
          <w:tcPr>
            <w:tcW w:w="992" w:type="dxa"/>
          </w:tcPr>
          <w:p>
            <w:pPr>
              <w:spacing w:after="0"/>
            </w:pPr>
            <w:r>
              <w:t>10.2.2</w:t>
            </w:r>
          </w:p>
          <w:p>
            <w:pPr>
              <w:spacing w:after="0"/>
            </w:pPr>
            <w:r>
              <w:rPr>
                <w:rStyle w:val="HiddenChar"/>
              </w:rPr>
              <w:t>STRATEGIC POLICY AND ADVICE - Legislation</w:t>
            </w:r>
          </w:p>
        </w:tc>
        <w:tc>
          <w:tcPr>
            <w:tcW w:w="5812" w:type="dxa"/>
          </w:tcPr>
          <w:p>
            <w:r>
              <w:t xml:space="preserve">Records relating to the development of legislation for whole of government purposes where the agency has primary carriage of the development process. Records include consultations with relevant agencies, organisations and stakeholders, advice to the Premier and other agencies, legislative drafting material including regulatory impact statements, second and subsequent reading speeches and preparation of Explanatory Memoranda.</w:t>
            </w:r>
          </w:p>
        </w:tc>
        <w:tc>
          <w:tcPr>
            <w:tcW w:w="2268" w:type="dxa"/>
          </w:tcPr>
          <w:p>
            <w:r>
              <w:t>Required as State archives</w:t>
            </w:r>
          </w:p>
        </w:tc>
      </w:tr>
    </w:tbl>
    <w:p>
      <w:pPr>
        <w:pStyle w:val="Heading2"/>
        <w:spacing w:after="0"/>
      </w:pPr>
      <w:bookmarkStart w:id="3" w:name="id51"/>
      <w:r>
        <w:t xml:space="preserve">10.3.0 </w:t>
      </w:r>
      <w:r>
        <w:t>Liaison</w:t>
      </w:r>
      <w:bookmarkEnd w:id="3"/>
    </w:p>
    <w:p>
      <w:r>
        <w:t xml:space="preserve">The activities associated with maintaining regular general contact between the organisation and other government agencies.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10.3.1</w:t>
            </w:r>
          </w:p>
          <w:p>
            <w:pPr>
              <w:spacing w:after="0"/>
            </w:pPr>
            <w:r>
              <w:rPr>
                <w:rStyle w:val="HiddenChar"/>
              </w:rPr>
              <w:t>STRATEGIC POLICY AND ADVICE - Liaison</w:t>
            </w:r>
          </w:p>
        </w:tc>
        <w:tc>
          <w:tcPr>
            <w:tcW w:w="5812" w:type="dxa"/>
          </w:tcPr>
          <w:p>
            <w:r>
              <w:t xml:space="preserve">Records relating to routine liaison activities and information exchange undertaken with Commonwealth, State and/or local government organisations in order to assist in the coordination of government administration or projects. </w:t>
            </w:r>
          </w:p>
        </w:tc>
        <w:tc>
          <w:tcPr>
            <w:tcW w:w="2268" w:type="dxa"/>
          </w:tcPr>
          <w:p>
            <w:r>
              <w:t>Retain minimum of 5 years after action completed, then destroy</w:t>
            </w:r>
          </w:p>
        </w:tc>
      </w:tr>
    </w:tbl>
    <w:p>
      <w:pPr>
        <w:pStyle w:val="Heading2"/>
        <w:spacing w:after="0"/>
      </w:pPr>
      <w:bookmarkStart w:id="4" w:name="id52"/>
      <w:r>
        <w:t xml:space="preserve">10.4.0 </w:t>
      </w:r>
      <w:r>
        <w:t>Policy</w:t>
      </w:r>
      <w:bookmarkEnd w:id="4"/>
    </w:p>
    <w:p>
      <w:r>
        <w:t xml:space="preserve">The activities associated with developing and establishing decisions, directions and precedents which act as a reference for future decision making, as the basis from which the organisation’s operating procedures are determined. Include policy responses to the findings of royal commissions and commissions of inquiry.</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10.4.1</w:t>
            </w:r>
          </w:p>
          <w:p>
            <w:pPr>
              <w:spacing w:after="0"/>
            </w:pPr>
            <w:r>
              <w:rPr>
                <w:rStyle w:val="HiddenChar"/>
              </w:rPr>
              <w:t>STRATEGIC POLICY AND ADVICE - Policy</w:t>
            </w:r>
          </w:p>
        </w:tc>
        <w:tc>
          <w:tcPr>
            <w:tcW w:w="5812" w:type="dxa"/>
          </w:tcPr>
          <w:p>
            <w:r>
              <w:t xml:space="preserve">Master set of circulars or memoranda issued by the Premier/Department.</w:t>
            </w:r>
          </w:p>
        </w:tc>
        <w:tc>
          <w:tcPr>
            <w:tcW w:w="2268" w:type="dxa"/>
          </w:tcPr>
          <w:p>
            <w:r>
              <w:t>Required as State archives</w:t>
            </w:r>
          </w:p>
        </w:tc>
      </w:tr>
      <w:tr>
        <w:trPr>
          <w:jc w:val="center"/>
        </w:trPr>
        <w:tc>
          <w:tcPr>
            <w:tcW w:w="992" w:type="dxa"/>
          </w:tcPr>
          <w:p>
            <w:pPr>
              <w:spacing w:after="0"/>
            </w:pPr>
            <w:r>
              <w:t>10.4.2</w:t>
            </w:r>
          </w:p>
          <w:p>
            <w:pPr>
              <w:spacing w:after="0"/>
            </w:pPr>
            <w:r>
              <w:rPr>
                <w:rStyle w:val="HiddenChar"/>
              </w:rPr>
              <w:t>STRATEGIC POLICY AND ADVICE - Policy</w:t>
            </w:r>
          </w:p>
        </w:tc>
        <w:tc>
          <w:tcPr>
            <w:tcW w:w="5812" w:type="dxa"/>
          </w:tcPr>
          <w:p>
            <w:r>
              <w:t xml:space="preserve">Records relating to the development and establishment of government policies that impact on whole-of-government or cross portfolio administration and/or have far reaching social or economic impact. Records include: policy proposals; research papers; results of  consultations; supporting reports; major drafts; final policy documents; national policy statements; working papers; comments made on such policies.</w:t>
            </w:r>
          </w:p>
        </w:tc>
        <w:tc>
          <w:tcPr>
            <w:tcW w:w="2268" w:type="dxa"/>
          </w:tcPr>
          <w:p>
            <w:r>
              <w:t>Required as State archives</w:t>
            </w:r>
          </w:p>
        </w:tc>
      </w:tr>
      <w:tr>
        <w:trPr>
          <w:jc w:val="center"/>
        </w:trPr>
        <w:tc>
          <w:tcPr>
            <w:tcW w:w="992" w:type="dxa"/>
          </w:tcPr>
          <w:p>
            <w:pPr>
              <w:spacing w:after="0"/>
            </w:pPr>
            <w:r>
              <w:t>10.4.3</w:t>
            </w:r>
          </w:p>
          <w:p>
            <w:pPr>
              <w:spacing w:after="0"/>
            </w:pPr>
            <w:r>
              <w:rPr>
                <w:rStyle w:val="HiddenChar"/>
              </w:rPr>
              <w:t>STRATEGIC POLICY AND ADVICE - Policy</w:t>
            </w:r>
          </w:p>
        </w:tc>
        <w:tc>
          <w:tcPr>
            <w:tcW w:w="5812" w:type="dxa"/>
          </w:tcPr>
          <w:p>
            <w:r>
              <w:t xml:space="preserve">Master set of advice or briefing notes on policy issues prepared for use by the Premier or other Ministers relating to anticipated questions that may be raised in Parliament.</w:t>
            </w:r>
          </w:p>
        </w:tc>
        <w:tc>
          <w:tcPr>
            <w:tcW w:w="2268" w:type="dxa"/>
          </w:tcPr>
          <w:p>
            <w:r>
              <w:t>Required as State archives</w:t>
            </w:r>
          </w:p>
        </w:tc>
      </w:tr>
    </w:tbl>
    <w:p>
      <w:pPr>
        <w:pStyle w:val="Heading2"/>
        <w:spacing w:after="0"/>
      </w:pPr>
      <w:bookmarkStart w:id="5" w:name="id53"/>
      <w:r>
        <w:t xml:space="preserve">10.5.0 </w:t>
      </w:r>
      <w:r>
        <w:t>Reporting</w:t>
      </w:r>
      <w:bookmarkEnd w:id="5"/>
    </w:p>
    <w:p>
      <w:r>
        <w:t xml:space="preserve">The processes involved in receiving reports from other organisations regarding their activities, including unsolicited reports received from not for profit organisations advertising their programs to the Premier's office. </w:t>
      </w:r>
    </w:p>
    <w:p>
      <w:r>
        <w:t xml:space="preserve">See </w:t>
      </w:r>
      <w:r>
        <w:rPr>
          <w:b/>
        </w:rPr>
        <w:t xml:space="preserve">STRATEGIC POLICY AND ADVICE </w:t>
      </w:r>
      <w:r>
        <w:rPr>
          <w:b/>
        </w:rPr>
        <w:t xml:space="preserve">- State plan development and reporting </w:t>
      </w:r>
      <w:r>
        <w:t>for records of reports received against State Plan targets, See State Planning</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10.5.1</w:t>
            </w:r>
          </w:p>
          <w:p>
            <w:pPr>
              <w:spacing w:after="0"/>
            </w:pPr>
            <w:r>
              <w:rPr>
                <w:rStyle w:val="HiddenChar"/>
              </w:rPr>
              <w:t>STRATEGIC POLICY AND ADVICE - Reporting</w:t>
            </w:r>
          </w:p>
        </w:tc>
        <w:tc>
          <w:tcPr>
            <w:tcW w:w="5812" w:type="dxa"/>
          </w:tcPr>
          <w:p>
            <w:r>
              <w:t xml:space="preserve">Records relating to reports received from agencies of government and non-Government organisations for the purpose of keeping the Premier's office informed of their activities where issues dealt with in the reports are the subject of public interest or controversy or require further action by the office or Department. Records include copies of reports, covering letters, responses, etc.</w:t>
            </w:r>
          </w:p>
        </w:tc>
        <w:tc>
          <w:tcPr>
            <w:tcW w:w="2268" w:type="dxa"/>
          </w:tcPr>
          <w:p>
            <w:r>
              <w:t>Required as State archives</w:t>
            </w:r>
          </w:p>
        </w:tc>
      </w:tr>
      <w:tr>
        <w:trPr>
          <w:jc w:val="center"/>
        </w:trPr>
        <w:tc>
          <w:tcPr>
            <w:tcW w:w="992" w:type="dxa"/>
          </w:tcPr>
          <w:p>
            <w:pPr>
              <w:spacing w:after="0"/>
            </w:pPr>
            <w:r>
              <w:t>10.5.2</w:t>
            </w:r>
          </w:p>
          <w:p>
            <w:pPr>
              <w:spacing w:after="0"/>
            </w:pPr>
            <w:r>
              <w:rPr>
                <w:rStyle w:val="HiddenChar"/>
              </w:rPr>
              <w:t>STRATEGIC POLICY AND ADVICE - Reporting</w:t>
            </w:r>
          </w:p>
        </w:tc>
        <w:tc>
          <w:tcPr>
            <w:tcW w:w="5812" w:type="dxa"/>
          </w:tcPr>
          <w:p>
            <w:r>
              <w:t xml:space="preserve">Records relating to reports received from agencies of government and non-Government organisations for the purpose of keeping the organisation informed of their activities where issues dealt with in the reports require no further action from the organisation. Records include copies of reports, covering letters, etc.</w:t>
            </w:r>
          </w:p>
        </w:tc>
        <w:tc>
          <w:tcPr>
            <w:tcW w:w="2268" w:type="dxa"/>
          </w:tcPr>
          <w:p>
            <w:r>
              <w:t>Retain minimum of 5 years after action completed, then destroy</w:t>
            </w:r>
          </w:p>
        </w:tc>
      </w:tr>
    </w:tbl>
    <w:p>
      <w:pPr>
        <w:pStyle w:val="Heading2"/>
        <w:spacing w:after="0"/>
      </w:pPr>
      <w:bookmarkStart w:id="6" w:name="id54"/>
      <w:r>
        <w:t xml:space="preserve">10.6.0 </w:t>
      </w:r>
      <w:r>
        <w:t>State plan development and reporting</w:t>
      </w:r>
      <w:bookmarkEnd w:id="6"/>
    </w:p>
    <w:p>
      <w:r>
        <w:t xml:space="preserve">Activities associated with the development and implementation of key planning documents establishing objectives and priorities to guide the conduct and coordination of activities across government.</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10.6.1</w:t>
            </w:r>
          </w:p>
          <w:p>
            <w:pPr>
              <w:spacing w:after="0"/>
            </w:pPr>
            <w:r>
              <w:rPr>
                <w:rStyle w:val="HiddenChar"/>
              </w:rPr>
              <w:t>STRATEGIC POLICY AND ADVICE - State plan development and reporting</w:t>
            </w:r>
          </w:p>
        </w:tc>
        <w:tc>
          <w:tcPr>
            <w:tcW w:w="5812" w:type="dxa"/>
          </w:tcPr>
          <w:p>
            <w:r>
              <w:t xml:space="preserve">Records relating to the development of planning documents establishing government priorities and objectives for action e.g. the State Plan, State Infrastructure Strategy Statements and associated plans to support the delivery of targets and actions e.g. priority delivery plans negotiated with key agencies, plans identifying priority infrastructure projects. Includes records of background research, submissions or advice from government agencies, notes of meetings or reports analysing issues and the outcomes of consultation with stakeholders and the community, final versions and draft versions containing significant changes/alterations or formally circulated for comment.</w:t>
            </w:r>
          </w:p>
        </w:tc>
        <w:tc>
          <w:tcPr>
            <w:tcW w:w="2268" w:type="dxa"/>
          </w:tcPr>
          <w:p>
            <w:r>
              <w:t>Required as State archives</w:t>
            </w:r>
          </w:p>
        </w:tc>
      </w:tr>
      <w:tr>
        <w:trPr>
          <w:jc w:val="center"/>
        </w:trPr>
        <w:tc>
          <w:tcPr>
            <w:tcW w:w="992" w:type="dxa"/>
          </w:tcPr>
          <w:p>
            <w:pPr>
              <w:spacing w:after="0"/>
            </w:pPr>
            <w:r>
              <w:t>10.6.2</w:t>
            </w:r>
          </w:p>
          <w:p>
            <w:pPr>
              <w:spacing w:after="0"/>
            </w:pPr>
            <w:r>
              <w:rPr>
                <w:rStyle w:val="HiddenChar"/>
              </w:rPr>
              <w:t>STRATEGIC POLICY AND ADVICE - State plan development and reporting</w:t>
            </w:r>
          </w:p>
        </w:tc>
        <w:tc>
          <w:tcPr>
            <w:tcW w:w="5812" w:type="dxa"/>
          </w:tcPr>
          <w:p>
            <w:r>
              <w:t xml:space="preserve">Records relating to reporting by agencies against State plan or strategy targets. Includes reports by other areas of the organisation monitoring NSW Government agencies and programs performance against State plan or strategy targets, reports submitted by agencies concerning progress in meeting targets or outcomes and records of meetings with agencies to discuss reporting outcomes and progress towards them, such as agenda and minutes of meetings, advice, actions arising and follow up correspondence arising from business discussed.</w:t>
            </w:r>
          </w:p>
        </w:tc>
        <w:tc>
          <w:tcPr>
            <w:tcW w:w="2268" w:type="dxa"/>
          </w:tcPr>
          <w:p>
            <w:r>
              <w:t>Required as State archives</w:t>
            </w:r>
          </w:p>
        </w:tc>
      </w:tr>
      <w:tr>
        <w:trPr>
          <w:jc w:val="center"/>
        </w:trPr>
        <w:tc>
          <w:tcPr>
            <w:tcW w:w="992" w:type="dxa"/>
          </w:tcPr>
          <w:p>
            <w:pPr>
              <w:spacing w:after="0"/>
            </w:pPr>
            <w:r>
              <w:t>10.6.3</w:t>
            </w:r>
          </w:p>
          <w:p>
            <w:pPr>
              <w:spacing w:after="0"/>
            </w:pPr>
            <w:r>
              <w:rPr>
                <w:rStyle w:val="HiddenChar"/>
              </w:rPr>
              <w:t>STRATEGIC POLICY AND ADVICE - State plan development and reporting</w:t>
            </w:r>
          </w:p>
        </w:tc>
        <w:tc>
          <w:tcPr>
            <w:tcW w:w="5812" w:type="dxa"/>
          </w:tcPr>
          <w:p>
            <w:r>
              <w:t xml:space="preserve">Records relating to the development of systems to manage performance reporting and monitoring of outcomes against planning initiatives. Records include background research, proposals and records relating to the implementation of systems e.g. notes of meetings, correspondence or reports relating to implementation issues and feedback or consultation with system users etc.</w:t>
            </w:r>
          </w:p>
        </w:tc>
        <w:tc>
          <w:tcPr>
            <w:tcW w:w="2268" w:type="dxa"/>
          </w:tcPr>
          <w:p>
            <w:r>
              <w:t>Retain minimum of 2 years after system superseded, then destroy</w:t>
            </w:r>
          </w:p>
        </w:tc>
      </w:tr>
    </w:tbl>
    <w:p>
      <w:pPr>
        <w:pStyle w:val="Heading2"/>
        <w:spacing w:after="0"/>
      </w:pPr>
      <w:bookmarkStart w:id="7" w:name="id55"/>
      <w:r>
        <w:t xml:space="preserve">10.7.0 </w:t>
      </w:r>
      <w:r>
        <w:t>Submissions</w:t>
      </w:r>
      <w:bookmarkEnd w:id="7"/>
    </w:p>
    <w:p>
      <w:r>
        <w:t xml:space="preserve">Submissions by members of the department, other agencies or Members of Parliament to the Premier and/or other Ministers for consideration.</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10.7.1</w:t>
            </w:r>
          </w:p>
          <w:p>
            <w:pPr>
              <w:spacing w:after="0"/>
            </w:pPr>
            <w:r>
              <w:rPr>
                <w:rStyle w:val="HiddenChar"/>
              </w:rPr>
              <w:t>STRATEGIC POLICY AND ADVICE - Submissions</w:t>
            </w:r>
          </w:p>
        </w:tc>
        <w:tc>
          <w:tcPr>
            <w:tcW w:w="5812" w:type="dxa"/>
          </w:tcPr>
          <w:p>
            <w:r>
              <w:t xml:space="preserve">Records relating to submissions made to the Premier and/or senior departmental staff regarding legislative and major policy matters. Records include:</w:t>
            </w:r>
          </w:p>
          <w:p>
            <w:pPr>
              <w:pStyle w:val="ListParagraph"/>
              <w:keepNext w:val="0"/>
              <w:widowControl w:val="0"/>
              <w:numPr>
                <w:ilvl w:val="0"/>
                <w:numId w:val="1"/>
              </w:numPr>
            </w:pPr>
            <w:r>
              <w:t xml:space="preserve">reports</w:t>
            </w:r>
          </w:p>
          <w:p>
            <w:pPr>
              <w:pStyle w:val="ListParagraph"/>
              <w:keepNext w:val="0"/>
              <w:widowControl w:val="0"/>
              <w:numPr>
                <w:ilvl w:val="0"/>
                <w:numId w:val="1"/>
              </w:numPr>
            </w:pPr>
            <w:r>
              <w:t xml:space="preserve">background research and briefing papers</w:t>
            </w:r>
          </w:p>
          <w:p>
            <w:pPr>
              <w:pStyle w:val="ListParagraph"/>
              <w:keepNext w:val="0"/>
              <w:widowControl w:val="0"/>
              <w:numPr>
                <w:ilvl w:val="0"/>
                <w:numId w:val="1"/>
              </w:numPr>
            </w:pPr>
            <w:r>
              <w:t xml:space="preserve">Ministerial advice memoranda.</w:t>
            </w:r>
          </w:p>
        </w:tc>
        <w:tc>
          <w:tcPr>
            <w:tcW w:w="2268" w:type="dxa"/>
          </w:tcPr>
          <w:p>
            <w:r>
              <w:t>Required as State archives</w:t>
            </w:r>
          </w:p>
        </w:tc>
      </w:tr>
      <w:tr>
        <w:trPr>
          <w:jc w:val="center"/>
        </w:trPr>
        <w:tc>
          <w:tcPr>
            <w:tcW w:w="992" w:type="dxa"/>
          </w:tcPr>
          <w:p>
            <w:pPr>
              <w:spacing w:after="0"/>
            </w:pPr>
            <w:r>
              <w:t>10.7.2</w:t>
            </w:r>
          </w:p>
          <w:p>
            <w:pPr>
              <w:spacing w:after="0"/>
            </w:pPr>
            <w:r>
              <w:rPr>
                <w:rStyle w:val="HiddenChar"/>
              </w:rPr>
              <w:t>STRATEGIC POLICY AND ADVICE - Submissions</w:t>
            </w:r>
          </w:p>
        </w:tc>
        <w:tc>
          <w:tcPr>
            <w:tcW w:w="5812" w:type="dxa"/>
          </w:tcPr>
          <w:p>
            <w:r>
              <w:t xml:space="preserve">Records relating to submissions made to the Premier and/or senior department staff regarding non-legislative or routine matters.</w:t>
            </w:r>
          </w:p>
          <w:p>
            <w:r>
              <w:t xml:space="preserve">Examples of these are: daily analyses of the press to identify matters that may be of interest to the Premier; collation of information about individuals or organisations that the Premier is meeting, or conferences that the Premier is attending. Records include:</w:t>
            </w:r>
          </w:p>
          <w:p>
            <w:pPr>
              <w:pStyle w:val="ListParagraph"/>
              <w:keepNext w:val="0"/>
              <w:widowControl w:val="0"/>
              <w:numPr>
                <w:ilvl w:val="0"/>
                <w:numId w:val="1"/>
              </w:numPr>
            </w:pPr>
            <w:r>
              <w:t xml:space="preserve">reports</w:t>
            </w:r>
          </w:p>
          <w:p>
            <w:pPr>
              <w:pStyle w:val="ListParagraph"/>
              <w:keepNext w:val="0"/>
              <w:widowControl w:val="0"/>
              <w:numPr>
                <w:ilvl w:val="0"/>
                <w:numId w:val="1"/>
              </w:numPr>
            </w:pPr>
            <w:r>
              <w:t xml:space="preserve">background research and briefing papers</w:t>
            </w:r>
          </w:p>
          <w:p>
            <w:pPr>
              <w:pStyle w:val="ListParagraph"/>
              <w:keepNext w:val="0"/>
              <w:widowControl w:val="0"/>
              <w:numPr>
                <w:ilvl w:val="0"/>
                <w:numId w:val="1"/>
              </w:numPr>
            </w:pPr>
            <w:r>
              <w:t xml:space="preserve">Ministerial advice memoranda.</w:t>
            </w:r>
          </w:p>
        </w:tc>
        <w:tc>
          <w:tcPr>
            <w:tcW w:w="2268" w:type="dxa"/>
          </w:tcPr>
          <w:p>
            <w:r>
              <w:t>Retain minimum of 5 years after action completed, then destroy</w:t>
            </w:r>
          </w:p>
        </w:tc>
      </w:tr>
    </w:tbl>
    <w:sectPr>
      <w:headerReference w:type="default" r:id="rId20"/>
      <w:footerReference w:type="default" r:id="rId21"/>
      <w:headerReference w:type="first" r:id="rId22"/>
      <w:footerReference w:type="first" r:id="rId23"/>
      <w:pgSz w:w="11907" w:h="16840" w:code="9"/>
      <w:pgMar w:top="1418" w:right="1418" w:bottom="1418" w:left="1418" w:header="567" w:footer="567" w:gutter="0"/>
      <w:paperSrc w:first="11" w:other="11"/>
      <w:cols w:space="720"/>
      <w:titlePg/>
    </w:sectPr>
  </w:body>
</w:document>
</file>

<file path=_rels\.rels><?xml version="1.0" encoding="UTF-8" standalone="yes"?>
<Relationships xmlns="http://schemas.openxmlformats.org/package/2006/relationships">
    <Relationship Id="rId3"
        Type="http://schemas.openxmlformats.org/officeDocument/2006/relationships/extended-properties"
        Target="docProps/app.xml" />
    <Relationship Id="rId2"
        Type="http://schemas.openxmlformats.org/package/2006/relationships/metadata/core-properties"
        Target="docProps/core.xml" />
    <Relationship Id="rId1"
        Type="http://schemas.openxmlformats.org/officeDocument/2006/relationships/officeDocument"
        Target="word/document.xml" />
</Relationships>
</file>

<file path=docProps\app.xml><?xml version="1.0" encoding="utf-8"?>
<Properties xmlns="http://schemas.openxmlformats.org/officeDocument/2006/extended-properties">
  <Template>Normal</Template>
  <Application>Microsoft Office Word</Application>
  <DocSecurity>0</DocSecurity>
  <ScaleCrop>false</ScaleCrop>
  <Company/>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mitype="http://purl.org/dc/dcmitype/" xmlns:xsi="http://www.w3.org/2001/XMLSchema-instance">
  <dc:title/>
  <dc:subject/>
  <dc:creator>Authority Editor</dc:creator>
  <cp:keywords/>
  <dc:description/>
  <cp:lastModifiedBy>Authority Editor</cp:lastModifiedBy>
  <cp:revision>1</cp:revision>
</cp:coreProperties>
</file>

<file path=word\_rels\document.xml.rels><?xml version="1.0" encoding="UTF-8" standalone="yes"?>
<Relationships xmlns="http://schemas.openxmlformats.org/package/2006/relationships">
    <Relationship Id="rId8"
        Type="http://schemas.openxmlformats.org/officeDocument/2006/relationships/webSettings"
        Target="webSettings.xml" />
    <Relationship Id="rId13"
        Type="http://schemas.openxmlformats.org/officeDocument/2006/relationships/header"
        Target="header1.xml" />
    <Relationship Id="rId18"
        Type="http://schemas.openxmlformats.org/officeDocument/2006/relationships/header"
        Target="header3.xml" />
    <Relationship Id="rId26"
        Type="http://schemas.openxmlformats.org/officeDocument/2006/relationships/theme"
        Target="theme/theme1.xml" />
    <Relationship Id="rId21"
        Type="http://schemas.openxmlformats.org/officeDocument/2006/relationships/footer"
        Target="footer6.xml" />
    <Relationship Id="rId7"
        Type="http://schemas.openxmlformats.org/officeDocument/2006/relationships/settings"
        Target="settings.xml" />
    <Relationship Id="rId12"
        Type="http://schemas.openxmlformats.org/officeDocument/2006/relationships/footer"
        Target="footer1.xml" />
    <Relationship Id="rId17"
        Type="http://schemas.openxmlformats.org/officeDocument/2006/relationships/footer"
        Target="footer4.xml" />
    <Relationship Id="rId25"
        Type="http://schemas.openxmlformats.org/officeDocument/2006/relationships/glossaryDocument"
        Target="glossary/document.xml" />
    <Relationship Id="rId16"
        Type="http://schemas.openxmlformats.org/officeDocument/2006/relationships/header"
        Target="header2.xml" />
    <Relationship Id="rId20"
        Type="http://schemas.openxmlformats.org/officeDocument/2006/relationships/header"
        Target="header4.xml" />
    <Relationship Id="rId6"
        Type="http://schemas.openxmlformats.org/officeDocument/2006/relationships/styles"
        Target="styles.xml" />
    <Relationship Id="rId11"
        Type="http://schemas.openxmlformats.org/officeDocument/2006/relationships/image"
        Target="media/image1.png" />
    <Relationship Id="rId24"
        Type="http://schemas.openxmlformats.org/officeDocument/2006/relationships/fontTable"
        Target="fontTable.xml" />
    <Relationship Id="rId5"
        Type="http://schemas.openxmlformats.org/officeDocument/2006/relationships/numbering"
        Target="numbering.xml" />
    <Relationship Id="rId15"
        Type="http://schemas.openxmlformats.org/officeDocument/2006/relationships/footer"
        Target="footer3.xml" />
    <Relationship Id="rId23"
        Type="http://schemas.openxmlformats.org/officeDocument/2006/relationships/footer"
        Target="footer7.xml" />
    <Relationship Id="rId10"
        Type="http://schemas.openxmlformats.org/officeDocument/2006/relationships/endnotes"
        Target="endnotes.xml" />
    <Relationship Id="rId19"
        Type="http://schemas.openxmlformats.org/officeDocument/2006/relationships/footer"
        Target="footer5.xml" />
    <Relationship Id="rId9"
        Type="http://schemas.openxmlformats.org/officeDocument/2006/relationships/footnotes"
        Target="footnotes.xml" />
    <Relationship Id="rId14"
        Type="http://schemas.openxmlformats.org/officeDocument/2006/relationships/footer"
        Target="footer2.xml" />
    <Relationship Id="rId22"
        Type="http://schemas.openxmlformats.org/officeDocument/2006/relationships/header"
        Target="header5.xml" />
</Relationship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CBBF9" w14:textId="77777777" w:rsidR="00B372D3" w:rsidRDefault="00B372D3">
      <w:r>
        <w:separator/>
      </w:r>
    </w:p>
  </w:endnote>
  <w:endnote w:type="continuationSeparator" w:id="0">
    <w:p w14:paraId="15E10A07" w14:textId="77777777" w:rsidR="00B372D3" w:rsidRDefault="00B372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rtug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ublic Sans Light">
    <w:altName w:val="Cambria"/>
    <w:panose1 w:val="00000000000000000000"/>
    <w:charset w:val="00"/>
    <w:family w:val="roman"/>
    <w:notTrueType/>
    <w:pitch w:val="default"/>
  </w:font>
  <w:font w:name="Public Sans">
    <w:panose1 w:val="00000000000000000000"/>
    <w:charset w:val="00"/>
    <w:family w:val="auto"/>
    <w:pitch w:val="variable"/>
    <w:sig w:usb0="A00000FF" w:usb1="4000205B" w:usb2="00000000" w:usb3="00000000" w:csb0="000001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rPr>
        <w:sz w:val="20"/>
      </w:rPr>
    </w:pPr>
    <w:r>
      <w:t>State Records Authority NSW</w:t>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tabs>
        <w:tab w:val="right" w:pos="9072"/>
      </w:tabs>
      <w:rPr>
        <w:smallCaps/>
        <w:sz w:val="18"/>
      </w:rPr>
    </w:pPr>
    <w:r>
      <w:rPr>
        <w:sz w:val="18"/>
      </w:rPr>
      <w:t>State Records Authority NSW</w:t>
    </w:r>
    <w:r>
      <w:rPr>
        <w:sz w:val="18"/>
      </w:rPr>
      <w:tab/>
    </w:r>
    <w:r>
      <w:rPr>
        <w:sz w:val="18"/>
      </w:rPr>
      <w:fldChar w:fldCharType="begin"/>
    </w:r>
    <w:r>
      <w:rPr>
        <w:sz w:val="18"/>
      </w:rPr>
      <w:instrText xml:space="preserve">PAGE </w:instrText>
    </w:r>
    <w:r>
      <w:rPr>
        <w:sz w:val="18"/>
      </w:rPr>
      <w:fldChar w:fldCharType="separate"/>
    </w:r>
    <w:r>
      <w:rPr>
        <w:noProof/>
        <w:sz w:val="18"/>
      </w:rPr>
      <w:t>4</w:t>
    </w:r>
    <w:r>
      <w:rPr>
        <w:sz w:val="18"/>
      </w:rPr>
      <w:fldChar w:fldCharType="end"/>
    </w:r>
    <w:r>
      <w:rPr>
        <w:sz w:val="18"/>
      </w:rPr>
      <w:t xml:space="preserve"> of </w:t>
    </w:r>
    <w:r>
      <w:rPr>
        <w:sz w:val="18"/>
      </w:rPr>
      <w:fldChar w:fldCharType="begin"/>
    </w:r>
    <w:r>
      <w:rPr>
        <w:sz w:val="18"/>
      </w:rPr>
      <w:instrText>=</w:instrText>
    </w:r>
    <w:r>
      <w:rPr>
        <w:sz w:val="18"/>
      </w:rPr>
      <w:fldChar w:fldCharType="begin"/>
    </w:r>
    <w:r>
      <w:rPr>
        <w:sz w:val="18"/>
      </w:rPr>
      <w:instrText xml:space="preserve">NUMPAGES </w:instrText>
    </w:r>
    <w:r>
      <w:rPr>
        <w:sz w:val="18"/>
      </w:rPr>
      <w:fldChar w:fldCharType="separate"/>
    </w:r>
    <w:r>
      <w:rPr>
        <w:noProof/>
        <w:sz w:val="18"/>
      </w:rPr>
      <w:instrText>26</w:instrText>
    </w:r>
    <w:r>
      <w:rPr>
        <w:sz w:val="18"/>
      </w:rPr>
      <w:fldChar w:fldCharType="end"/>
    </w:r>
    <w:r>
      <w:rPr>
        <w:sz w:val="18"/>
      </w:rPr>
      <w:instrText>-2</w:instrText>
    </w:r>
    <w:r>
      <w:rPr>
        <w:sz w:val="18"/>
      </w:rPr>
      <w:fldChar w:fldCharType="separate"/>
    </w:r>
    <w:r>
      <w:rPr>
        <w:noProof/>
        <w:sz w:val="18"/>
      </w:rPr>
      <w:t>24</w:t>
    </w:r>
    <w:r>
      <w:rPr>
        <w:sz w:val="18"/>
      </w:rPr>
      <w:fldChar w:fldCharType="end"/>
    </w:r>
  </w:p>
  <w:p/>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pPr>
  </w:p>
  <w:p/>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tabs>
        <w:tab w:val="right" w:pos="9072"/>
      </w:tabs>
      <w:rPr>
        <w:smallCaps/>
        <w:sz w:val="18"/>
      </w:rPr>
    </w:pPr>
    <w:r>
      <w:rPr>
        <w:sz w:val="18"/>
      </w:rPr>
      <w:t>State Archives and Records Authority of New South Wales</w:t>
    </w:r>
    <w:r>
      <w:rPr>
        <w:sz w:val="18"/>
      </w:rPr>
      <w:tab/>
    </w:r>
    <w:r>
      <w:rPr>
        <w:sz w:val="18"/>
      </w:rPr>
      <w:fldChar w:fldCharType="begin"/>
    </w:r>
    <w:r>
      <w:rPr>
        <w:sz w:val="18"/>
      </w:rPr>
      <w:instrText xml:space="preserve">PAGE </w:instrText>
    </w:r>
    <w:r>
      <w:rPr>
        <w:sz w:val="18"/>
      </w:rPr>
      <w:fldChar w:fldCharType="separate"/>
    </w:r>
    <w:r>
      <w:rPr>
        <w:noProof/>
        <w:sz w:val="18"/>
      </w:rPr>
      <w:t>6</w:t>
    </w:r>
    <w:r>
      <w:rPr>
        <w:sz w:val="18"/>
      </w:rPr>
      <w:fldChar w:fldCharType="end"/>
    </w:r>
    <w:r>
      <w:rPr>
        <w:sz w:val="18"/>
      </w:rPr>
      <w:t xml:space="preserve"> of </w:t>
    </w:r>
    <w:r>
      <w:rPr>
        <w:sz w:val="18"/>
      </w:rPr>
      <w:fldChar w:fldCharType="begin"/>
    </w:r>
    <w:r>
      <w:rPr>
        <w:sz w:val="18"/>
      </w:rPr>
      <w:instrText>=</w:instrText>
    </w:r>
    <w:r>
      <w:rPr>
        <w:sz w:val="18"/>
      </w:rPr>
      <w:fldChar w:fldCharType="begin"/>
    </w:r>
    <w:r>
      <w:rPr>
        <w:sz w:val="18"/>
      </w:rPr>
      <w:instrText xml:space="preserve">NUMPAGES </w:instrText>
    </w:r>
    <w:r>
      <w:rPr>
        <w:sz w:val="18"/>
      </w:rPr>
      <w:fldChar w:fldCharType="separate"/>
    </w:r>
    <w:r w:rsidR="0086301E">
      <w:rPr>
        <w:noProof/>
        <w:sz w:val="18"/>
      </w:rPr>
      <w:instrText>26</w:instrText>
    </w:r>
    <w:r>
      <w:rPr>
        <w:sz w:val="18"/>
      </w:rPr>
      <w:fldChar w:fldCharType="end"/>
    </w:r>
    <w:r>
      <w:rPr>
        <w:sz w:val="18"/>
      </w:rPr>
      <w:instrText>-2</w:instrText>
    </w:r>
    <w:r>
      <w:rPr>
        <w:sz w:val="18"/>
      </w:rPr>
      <w:fldChar w:fldCharType="separate"/>
    </w:r>
    <w:r w:rsidR="0086301E">
      <w:rPr>
        <w:noProof/>
        <w:sz w:val="18"/>
      </w:rPr>
      <w:t>24</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tabs>
        <w:tab w:val="right" w:pos="9072"/>
      </w:tabs>
      <w:rPr>
        <w:smallCaps/>
        <w:sz w:val="18"/>
      </w:rPr>
    </w:pPr>
    <w:r>
      <w:rPr>
        <w:sz w:val="18"/>
      </w:rPr>
      <w:t>State Records Authority NSW</w:t>
    </w:r>
    <w:r>
      <w:rPr>
        <w:sz w:val="18"/>
      </w:rPr>
      <w:tab/>
    </w:r>
    <w:r>
      <w:rPr>
        <w:sz w:val="18"/>
      </w:rPr>
      <w:fldChar w:fldCharType="begin"/>
    </w:r>
    <w:r>
      <w:rPr>
        <w:sz w:val="18"/>
      </w:rPr>
      <w:instrText xml:space="preserve">PAGE </w:instrText>
    </w:r>
    <w:r>
      <w:rPr>
        <w:sz w:val="18"/>
      </w:rPr>
      <w:fldChar w:fldCharType="separate"/>
    </w:r>
    <w:r>
      <w:rPr>
        <w:noProof/>
        <w:sz w:val="18"/>
      </w:rPr>
      <w:t>5</w:t>
    </w:r>
    <w:r>
      <w:rPr>
        <w:sz w:val="18"/>
      </w:rPr>
      <w:fldChar w:fldCharType="end"/>
    </w:r>
    <w:r>
      <w:rPr>
        <w:sz w:val="18"/>
      </w:rPr>
      <w:t xml:space="preserve"> of </w:t>
    </w:r>
    <w:r>
      <w:rPr>
        <w:sz w:val="18"/>
      </w:rPr>
      <w:fldChar w:fldCharType="begin"/>
    </w:r>
    <w:r>
      <w:rPr>
        <w:sz w:val="18"/>
      </w:rPr>
      <w:instrText>=</w:instrText>
    </w:r>
    <w:r>
      <w:rPr>
        <w:sz w:val="18"/>
      </w:rPr>
      <w:fldChar w:fldCharType="begin"/>
    </w:r>
    <w:r>
      <w:rPr>
        <w:sz w:val="18"/>
      </w:rPr>
      <w:instrText xml:space="preserve">NUMPAGES </w:instrText>
    </w:r>
    <w:r>
      <w:rPr>
        <w:sz w:val="18"/>
      </w:rPr>
      <w:fldChar w:fldCharType="separate"/>
    </w:r>
    <w:r>
      <w:rPr>
        <w:noProof/>
        <w:sz w:val="18"/>
      </w:rPr>
      <w:instrText>26</w:instrText>
    </w:r>
    <w:r>
      <w:rPr>
        <w:sz w:val="18"/>
      </w:rPr>
      <w:fldChar w:fldCharType="end"/>
    </w:r>
    <w:r>
      <w:rPr>
        <w:sz w:val="18"/>
      </w:rPr>
      <w:instrText>-2</w:instrText>
    </w:r>
    <w:r>
      <w:rPr>
        <w:sz w:val="18"/>
      </w:rPr>
      <w:fldChar w:fldCharType="separate"/>
    </w:r>
    <w:r>
      <w:rPr>
        <w:noProof/>
        <w:sz w:val="18"/>
      </w:rPr>
      <w:t>24</w:t>
    </w:r>
    <w:r>
      <w:rPr>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tabs>
        <w:tab w:val="right" w:pos="9072"/>
      </w:tabs>
      <w:rPr>
        <w:smallCaps/>
        <w:sz w:val="18"/>
      </w:rPr>
    </w:pPr>
    <w:r>
      <w:rPr>
        <w:sz w:val="18"/>
      </w:rPr>
      <w:t>State Records Authority NSW</w:t>
    </w:r>
    <w:r>
      <w:rPr>
        <w:sz w:val="18"/>
      </w:rPr>
      <w:tab/>
    </w:r>
    <w:r>
      <w:rPr>
        <w:sz w:val="18"/>
      </w:rPr>
      <w:fldChar w:fldCharType="begin"/>
    </w:r>
    <w:r>
      <w:rPr>
        <w:sz w:val="18"/>
      </w:rPr>
      <w:instrText xml:space="preserve">PAGE </w:instrText>
    </w:r>
    <w:r>
      <w:rPr>
        <w:sz w:val="18"/>
      </w:rPr>
      <w:fldChar w:fldCharType="separate"/>
    </w:r>
    <w:r>
      <w:rPr>
        <w:noProof/>
        <w:sz w:val="18"/>
      </w:rPr>
      <w:t>23</w:t>
    </w:r>
    <w:r>
      <w:rPr>
        <w:sz w:val="18"/>
      </w:rPr>
      <w:fldChar w:fldCharType="end"/>
    </w:r>
    <w:r>
      <w:rPr>
        <w:sz w:val="18"/>
      </w:rPr>
      <w:t xml:space="preserve"> of </w:t>
    </w:r>
    <w:r>
      <w:rPr>
        <w:sz w:val="18"/>
      </w:rPr>
      <w:fldChar w:fldCharType="begin"/>
    </w:r>
    <w:r>
      <w:rPr>
        <w:sz w:val="18"/>
      </w:rPr>
      <w:instrText>=</w:instrText>
    </w:r>
    <w:r>
      <w:rPr>
        <w:sz w:val="18"/>
      </w:rPr>
      <w:fldChar w:fldCharType="begin"/>
    </w:r>
    <w:r>
      <w:rPr>
        <w:sz w:val="18"/>
      </w:rPr>
      <w:instrText xml:space="preserve">NUMPAGES </w:instrText>
    </w:r>
    <w:r>
      <w:rPr>
        <w:sz w:val="18"/>
      </w:rPr>
      <w:fldChar w:fldCharType="separate"/>
    </w:r>
    <w:r>
      <w:rPr>
        <w:noProof/>
        <w:sz w:val="18"/>
      </w:rPr>
      <w:instrText>26</w:instrText>
    </w:r>
    <w:r>
      <w:rPr>
        <w:sz w:val="18"/>
      </w:rPr>
      <w:fldChar w:fldCharType="end"/>
    </w:r>
    <w:r>
      <w:rPr>
        <w:sz w:val="18"/>
      </w:rPr>
      <w:instrText>-2</w:instrText>
    </w:r>
    <w:r>
      <w:rPr>
        <w:sz w:val="18"/>
      </w:rPr>
      <w:fldChar w:fldCharType="separate"/>
    </w:r>
    <w:r>
      <w:rPr>
        <w:noProof/>
        <w:sz w:val="18"/>
      </w:rPr>
      <w:t>24</w:t>
    </w:r>
    <w:r>
      <w:rPr>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tabs>
        <w:tab w:val="right" w:pos="9072"/>
      </w:tabs>
      <w:rPr>
        <w:smallCaps/>
        <w:sz w:val="18"/>
      </w:rPr>
    </w:pPr>
    <w:r>
      <w:rPr>
        <w:sz w:val="18"/>
      </w:rPr>
      <w:t>State Records Authority NSW</w:t>
    </w:r>
    <w:r>
      <w:rPr>
        <w:sz w:val="18"/>
      </w:rPr>
      <w:tab/>
    </w:r>
    <w:r>
      <w:rPr>
        <w:sz w:val="18"/>
      </w:rPr>
      <w:fldChar w:fldCharType="begin"/>
    </w:r>
    <w:r>
      <w:rPr>
        <w:sz w:val="18"/>
      </w:rPr>
      <w:instrText xml:space="preserve">PAGE </w:instrText>
    </w:r>
    <w:r>
      <w:rPr>
        <w:sz w:val="18"/>
      </w:rPr>
      <w:fldChar w:fldCharType="separate"/>
    </w:r>
    <w:r>
      <w:rPr>
        <w:noProof/>
        <w:sz w:val="18"/>
      </w:rPr>
      <w:t>6</w:t>
    </w:r>
    <w:r>
      <w:rPr>
        <w:sz w:val="18"/>
      </w:rPr>
      <w:fldChar w:fldCharType="end"/>
    </w:r>
    <w:r>
      <w:rPr>
        <w:sz w:val="18"/>
      </w:rPr>
      <w:t xml:space="preserve"> of </w:t>
    </w:r>
    <w:r>
      <w:rPr>
        <w:sz w:val="18"/>
      </w:rPr>
      <w:fldChar w:fldCharType="begin"/>
    </w:r>
    <w:r>
      <w:rPr>
        <w:sz w:val="18"/>
      </w:rPr>
      <w:instrText>=</w:instrText>
    </w:r>
    <w:r>
      <w:rPr>
        <w:sz w:val="18"/>
      </w:rPr>
      <w:fldChar w:fldCharType="begin"/>
    </w:r>
    <w:r>
      <w:rPr>
        <w:sz w:val="18"/>
      </w:rPr>
      <w:instrText xml:space="preserve">NUMPAGES </w:instrText>
    </w:r>
    <w:r>
      <w:rPr>
        <w:sz w:val="18"/>
      </w:rPr>
      <w:fldChar w:fldCharType="separate"/>
    </w:r>
    <w:r>
      <w:rPr>
        <w:noProof/>
        <w:sz w:val="18"/>
      </w:rPr>
      <w:instrText>26</w:instrText>
    </w:r>
    <w:r>
      <w:rPr>
        <w:sz w:val="18"/>
      </w:rPr>
      <w:fldChar w:fldCharType="end"/>
    </w:r>
    <w:r>
      <w:rPr>
        <w:sz w:val="18"/>
      </w:rPr>
      <w:instrText>-2</w:instrText>
    </w:r>
    <w:r>
      <w:rPr>
        <w:sz w:val="18"/>
      </w:rPr>
      <w:fldChar w:fldCharType="separate"/>
    </w:r>
    <w:r>
      <w:rPr>
        <w:noProof/>
        <w:sz w:val="18"/>
      </w:rPr>
      <w:t>24</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
        <w:separator/>
      </w:r>
    </w:p>
  </w:footnote>
  <w:footnote w:type="continuationSeparator" w:id="0">
    <w:p>
      <w:r>
        <w:continuationSeparator/>
      </w:r>
    </w:p>
  </w:footnote>
  <!-- example footnote-->
  <!--w:footnote
    w:id="1">
        <w:p>
            <w:pPr>
                <w:pStyle w:val="FootnoteText" />
                <w:rPr>
                    <w:color w:val="FF0000" />
                </w:rPr>
            </w:pPr>
            <w:r>
                <w:rPr>
                    <w:rStyle w:val="FootnoteReference" />
                </w:rPr>
                <w:footnoteRef />
            </w:r>
            <w:r>
                <w:t xml:space="preserve"> See reference added 10 January 2025</w:t>
            </w:r>
        </w:p>
    </w:footnote-->
</w:footnot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A45A49016D145DC9E38854241888BBE"/>
        <w:category>
          <w:name w:val="General"/>
          <w:gallery w:val="placeholder"/>
        </w:category>
        <w:types>
          <w:type w:val="bbPlcHdr"/>
        </w:types>
        <w:behaviors>
          <w:behavior w:val="content"/>
        </w:behaviors>
        <w:guid w:val="{7A48AB18-D805-4D3D-BFC2-5562B6A7A63B}"/>
      </w:docPartPr>
      <w:docPartBody>
        <w:p w:rsidR="00F40D91" w:rsidRDefault="00F40D91" w:rsidP="00F40D91">
          <w:pPr>
            <w:pStyle w:val="8A45A49016D145DC9E38854241888BBE"/>
          </w:pPr>
          <w:r w:rsidRPr="005C65FF">
            <w:rPr>
              <w:rStyle w:val="PlaceholderText"/>
            </w:rPr>
            <w:t>Click or tap here to enter text.</w:t>
          </w:r>
        </w:p>
      </w:docPartBody>
    </w:docPart>
    <w:docPart>
      <w:docPartPr>
        <w:name w:val="27DD0F404CB6404184DDC939DC26453D"/>
        <w:category>
          <w:name w:val="General"/>
          <w:gallery w:val="placeholder"/>
        </w:category>
        <w:types>
          <w:type w:val="bbPlcHdr"/>
        </w:types>
        <w:behaviors>
          <w:behavior w:val="content"/>
        </w:behaviors>
        <w:guid w:val="{5FB99CAF-D1BE-4E68-ADE7-15087A040F9F}"/>
      </w:docPartPr>
      <w:docPartBody>
        <w:p w:rsidR="00F40D91" w:rsidRDefault="00F40D91" w:rsidP="00F40D91">
          <w:pPr>
            <w:pStyle w:val="27DD0F404CB6404184DDC939DC26453D"/>
          </w:pPr>
          <w:r w:rsidRPr="005C65FF">
            <w:rPr>
              <w:rStyle w:val="PlaceholderText"/>
            </w:rPr>
            <w:t>Enter any content that you want to repeat, including other content controls. You can also insert this control around table rows in order to repeat parts of a table.</w:t>
          </w:r>
        </w:p>
      </w:docPartBody>
    </w:docPart>
    <w:docPart>
      <w:docPartPr>
        <w:name w:val="9883E0E36A9248F397D85CE3D727529F"/>
        <w:category>
          <w:name w:val="General"/>
          <w:gallery w:val="placeholder"/>
        </w:category>
        <w:types>
          <w:type w:val="bbPlcHdr"/>
        </w:types>
        <w:behaviors>
          <w:behavior w:val="content"/>
        </w:behaviors>
        <w:guid w:val="{F45308DF-C059-48B0-8C4E-1140A0ABE2CA}"/>
      </w:docPartPr>
      <w:docPartBody>
        <w:p w:rsidR="00030C9A" w:rsidRDefault="00030C9A" w:rsidP="00030C9A">
          <w:pPr>
            <w:pStyle w:val="9883E0E36A9248F397D85CE3D727529F"/>
          </w:pPr>
          <w:r w:rsidRPr="005C65FF">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rtug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ublic Sans Light">
    <w:altName w:val="Cambria"/>
    <w:panose1 w:val="00000000000000000000"/>
    <w:charset w:val="00"/>
    <w:family w:val="roman"/>
    <w:notTrueType/>
    <w:pitch w:val="default"/>
  </w:font>
  <w:font w:name="Public Sans">
    <w:panose1 w:val="00000000000000000000"/>
    <w:charset w:val="00"/>
    <w:family w:val="auto"/>
    <w:pitch w:val="variable"/>
    <w:sig w:usb0="A00000FF" w:usb1="4000205B" w:usb2="00000000" w:usb3="00000000" w:csb0="000001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E67"/>
    <w:rsid w:val="00030C9A"/>
    <w:rsid w:val="00234214"/>
    <w:rsid w:val="006E54E1"/>
    <w:rsid w:val="00715861"/>
    <w:rsid w:val="00B43351"/>
    <w:rsid w:val="00B45E67"/>
    <w:rsid w:val="00D64C38"/>
    <w:rsid w:val="00F40D9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30C9A"/>
    <w:rPr>
      <w:color w:val="666666"/>
    </w:rPr>
  </w:style>
  <w:style w:type="paragraph" w:customStyle="1" w:styleId="9883E0E36A9248F397D85CE3D727529F">
    <w:name w:val="9883E0E36A9248F397D85CE3D727529F"/>
    <w:rsid w:val="00030C9A"/>
  </w:style>
  <w:style w:type="paragraph" w:customStyle="1" w:styleId="8A45A49016D145DC9E38854241888BBE">
    <w:name w:val="8A45A49016D145DC9E38854241888BBE"/>
    <w:rsid w:val="00F40D91"/>
  </w:style>
  <w:style w:type="paragraph" w:customStyle="1" w:styleId="27DD0F404CB6404184DDC939DC26453D">
    <w:name w:val="27DD0F404CB6404184DDC939DC26453D"/>
    <w:rsid w:val="00F40D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Subtitle"/>
    </w:pPr>
    <w:r>
      <w:t>Local Land Services</w:t>
    </w:r>
  </w:p>
  <w:p>
    <w:pPr>
      <w:pStyle w:val="Heading4"/>
      <w:tabs>
        <w:tab w:val="right" w:pos="9072"/>
      </w:tabs>
      <w:rPr>
        <w:bCs/>
      </w:rPr>
    </w:pPr>
    <w:r>
      <w:rPr>
        <w:bCs/>
      </w:rPr>
      <w:t>Authority number: FA399</w:t>
    </w:r>
    <w:r>
      <w:rPr>
        <w:bCs/>
      </w:rPr>
      <w:tab/>
      <w:t>Dates of coverage: Open</w:t>
    </w:r>
  </w:p>
  <w:tbl>
    <w:tblPr>
      <w:tblW w:w="5000" w:type="pct"/>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left w:w="107" w:type="dxa"/>
        <w:right w:w="107" w:type="dxa"/>
      </w:tblCellMar>
      <w:tblLook w:val="0000" w:firstRow="0" w:lastRow="0" w:firstColumn="0" w:lastColumn="0" w:noHBand="0" w:noVBand="0"/>
    </w:tblPr>
    <w:tblGrid>
      <w:gridCol w:w="9061"/>
    </w:tblGrid>
    <w:tr>
      <w:trPr>
        <w:cantSplit/>
      </w:trPr>
      <w:tc>
        <w:tcPr>
          <w:tcW w:w="5000" w:type="pct"/>
        </w:tcPr>
        <w:p>
          <w:pPr>
            <w:spacing w:before="60" w:after="60"/>
            <w:rPr>
              <w:b/>
              <w:sz w:val="16"/>
            </w:rPr>
          </w:pPr>
          <w:r>
            <w:rPr>
              <w:b/>
              <w:sz w:val="16"/>
            </w:rPr>
            <w:t>List of Functions and Activities covered</w:t>
          </w:r>
        </w:p>
      </w:tc>
    </w:tr>
  </w:tbl>
  <w:p>
    <w:pPr>
      <w:spacing w:before="0"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Subtitle"/>
    </w:pPr>
    <w:r>
      <w:t>Functional Retention and Disposal Authority</w:t>
    </w:r>
    <w:r>
      <w:br/>
      <w:t>Local Land Services</w:t>
    </w:r>
  </w:p>
  <w:p>
    <w:pPr>
      <w:pStyle w:val="Heading4"/>
      <w:tabs>
        <w:tab w:val="right" w:pos="9072"/>
      </w:tabs>
      <w:rPr>
        <w:bCs/>
      </w:rPr>
    </w:pPr>
    <w:r>
      <w:rPr>
        <w:bCs/>
      </w:rPr>
      <w:t>Authority number: FA399</w:t>
    </w:r>
    <w:r>
      <w:rPr>
        <w:bCs/>
      </w:rPr>
      <w:tab/>
      <w:t>Dates of coverage: Open</w:t>
    </w:r>
  </w:p>
  <w:tbl>
    <w:tblPr>
      <w:tblW w:w="5000" w:type="pct"/>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left w:w="107" w:type="dxa"/>
        <w:right w:w="107" w:type="dxa"/>
      </w:tblCellMar>
      <w:tblLook w:val="0000" w:firstRow="0" w:lastRow="0" w:firstColumn="0" w:lastColumn="0" w:noHBand="0" w:noVBand="0"/>
    </w:tblPr>
    <w:tblGrid>
      <w:gridCol w:w="9061"/>
    </w:tblGrid>
    <w:tr>
      <w:trPr>
        <w:cantSplit/>
      </w:trPr>
      <w:tc>
        <w:tcPr>
          <w:tcW w:w="5000" w:type="pct"/>
        </w:tcPr>
        <w:p>
          <w:pPr>
            <w:spacing w:before="60" w:after="60"/>
            <w:rPr>
              <w:b/>
              <w:sz w:val="16"/>
            </w:rPr>
          </w:pPr>
          <w:r>
            <w:rPr>
              <w:b/>
              <w:sz w:val="16"/>
            </w:rPr>
            <w:t>List of Functions and Activities covered</w:t>
          </w:r>
        </w:p>
      </w:tc>
    </w:tr>
  </w:tbl>
  <w:p>
    <w:pPr>
      <w:spacing w:before="0"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Subtitle"/>
    </w:pPr>
    <w:r>
      <w:t>Local Land Services</w:t>
    </w:r>
  </w:p>
  <w:p>
    <w:pPr>
      <w:pStyle w:val="Heading4"/>
      <w:tabs>
        <w:tab w:val="right" w:pos="9072"/>
      </w:tabs>
      <w:rPr>
        <w:bCs/>
      </w:rPr>
    </w:pPr>
    <w:r>
      <w:rPr>
        <w:bCs/>
      </w:rPr>
      <w:t>Authority number: FA399</w:t>
    </w:r>
    <w:r>
      <w:rPr>
        <w:bCs/>
      </w:rPr>
      <w:tab/>
      <w:t>Dates of coverage: Open</w:t>
    </w: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shd w:val="clear" w:color="auto" w:fill="auto"/>
        </w:tcPr>
        <w:p>
          <w:pPr>
            <w:spacing w:before="100" w:beforeAutospacing="1" w:after="100" w:afterAutospacing="1"/>
            <w:rPr>
              <w:b/>
              <w:szCs w:val="24"/>
            </w:rPr>
          </w:pPr>
          <w:r>
            <w:rPr>
              <w:b/>
              <w:szCs w:val="24"/>
            </w:rPr>
            <w:t>No.</w:t>
          </w:r>
        </w:p>
      </w:tc>
      <w:tc>
        <w:tcPr>
          <w:tcW w:w="5812" w:type="dxa"/>
          <w:shd w:val="clear" w:color="auto" w:fill="auto"/>
        </w:tcPr>
        <w:p>
          <w:pPr>
            <w:spacing w:before="100" w:beforeAutospacing="1" w:after="100" w:afterAutospacing="1"/>
            <w:rPr>
              <w:b/>
              <w:szCs w:val="24"/>
            </w:rPr>
          </w:pPr>
          <w:r>
            <w:rPr>
              <w:b/>
              <w:szCs w:val="24"/>
            </w:rPr>
            <w:t>Description of records</w:t>
          </w:r>
        </w:p>
      </w:tc>
      <w:tc>
        <w:tcPr>
          <w:tcW w:w="2268" w:type="dxa"/>
          <w:shd w:val="clear" w:color="auto" w:fill="auto"/>
        </w:tcPr>
        <w:p>
          <w:pPr>
            <w:spacing w:before="100" w:beforeAutospacing="1" w:after="100" w:afterAutospacing="1"/>
            <w:rPr>
              <w:b/>
              <w:szCs w:val="24"/>
            </w:rPr>
          </w:pPr>
          <w:r>
            <w:rPr>
              <w:b/>
              <w:szCs w:val="24"/>
            </w:rPr>
            <w:t>Disposal action</w:t>
          </w:r>
        </w:p>
      </w:tc>
    </w:tr>
  </w:tbl>
  <w:p>
    <w:pPr>
      <w:rPr>
        <w:i/>
      </w:rPr>
    </w:pPr>
    <w:r>
      <w:fldChar w:fldCharType="begin"/>
    </w:r>
    <w:r>
      <w:rPr>
        <w:i/>
      </w:rPr>
      <w:instrText>STYLEREF "HIDDEN CHAR" \* MERGEFORMAT</w:instrText>
    </w:r>
    <w:r>
      <w:fldChar w:fldCharType="separate"/>
    </w:r>
    <w:r>
      <w:rPr>
        <w:i/>
        <w:noProof/>
      </w:rPr>
      <w:t>THIS TEXT IS REPLACED</w:t>
    </w:r>
    <w:r>
      <w:rPr>
        <w:rFonts w:ascii="Public Sans" w:hAnsi="Public San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Subtitle"/>
    </w:pPr>
    <w:r>
      <w:t>Functional Retention and Disposal Authority</w:t>
    </w:r>
    <w:r>
      <w:br/>
      <w:t>Local Land Services</w:t>
    </w:r>
  </w:p>
  <w:p>
    <w:pPr>
      <w:pStyle w:val="Heading4"/>
      <w:tabs>
        <w:tab w:val="right" w:pos="9072"/>
      </w:tabs>
      <w:rPr>
        <w:bCs/>
      </w:rPr>
    </w:pPr>
    <w:r>
      <w:rPr>
        <w:bCs/>
      </w:rPr>
      <w:t>Authority number: FA399</w:t>
    </w:r>
    <w:r>
      <w:rPr>
        <w:bCs/>
      </w:rPr>
      <w:tab/>
      <w:t>Dates of coverage: Open</w:t>
    </w: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shd w:val="clear" w:color="auto" w:fill="auto"/>
        </w:tcPr>
        <w:p>
          <w:pPr>
            <w:spacing w:before="100" w:beforeAutospacing="1" w:after="100" w:afterAutospacing="1"/>
            <w:rPr>
              <w:b/>
              <w:szCs w:val="24"/>
            </w:rPr>
          </w:pPr>
          <w:r>
            <w:rPr>
              <w:b/>
              <w:szCs w:val="24"/>
            </w:rPr>
            <w:t>No.</w:t>
          </w:r>
        </w:p>
      </w:tc>
      <w:tc>
        <w:tcPr>
          <w:tcW w:w="5812" w:type="dxa"/>
          <w:shd w:val="clear" w:color="auto" w:fill="auto"/>
        </w:tcPr>
        <w:p>
          <w:pPr>
            <w:spacing w:before="100" w:beforeAutospacing="1" w:after="100" w:afterAutospacing="1"/>
            <w:rPr>
              <w:b/>
              <w:szCs w:val="24"/>
            </w:rPr>
          </w:pPr>
          <w:r w:rsidRPr="00330B59">
            <w:rPr>
              <w:b/>
              <w:szCs w:val="24"/>
            </w:rPr>
            <w:t>Description of records</w:t>
          </w:r>
        </w:p>
      </w:tc>
      <w:tc>
        <w:tcPr>
          <w:tcW w:w="2268" w:type="dxa"/>
          <w:shd w:val="clear" w:color="auto" w:fill="auto"/>
        </w:tcPr>
        <w:p>
          <w:pPr>
            <w:spacing w:before="100" w:beforeAutospacing="1" w:after="100" w:afterAutospacing="1"/>
            <w:rPr>
              <w:b/>
              <w:szCs w:val="24"/>
            </w:rPr>
          </w:pPr>
          <w:r>
            <w:rPr>
              <w:b/>
              <w:szCs w:val="24"/>
            </w:rPr>
            <w:t>Disposal action</w:t>
          </w:r>
        </w:p>
      </w:tc>
    </w:tr>
  </w:tbl>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85CED16"/>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F347A9B"/>
    <w:multiLevelType w:val="hybridMultilevel"/>
    <w:tmpl w:val="0346EDDA"/>
    <w:lvl w:ilvl="0" w:tplc="7E74B0DC">
      <w:start w:val="1"/>
      <w:numFmt w:val="bullet"/>
      <w:lvlText w:val=""/>
      <w:lvlJc w:val="left"/>
      <w:pPr>
        <w:ind w:left="170" w:hanging="17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34A2C22"/>
    <w:multiLevelType w:val="hybridMultilevel"/>
    <w:tmpl w:val="CAEC7178"/>
    <w:lvl w:ilvl="0" w:tplc="2BD25E0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4A07C60"/>
    <w:multiLevelType w:val="multilevel"/>
    <w:tmpl w:val="863C52BC"/>
    <w:lvl w:ilvl="0">
      <w:start w:val="1"/>
      <w:numFmt w:val="decimal"/>
      <w:pStyle w:val="Intern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5B60BCF"/>
    <w:multiLevelType w:val="hybridMultilevel"/>
    <w:tmpl w:val="77C8A87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B814B21"/>
    <w:multiLevelType w:val="hybridMultilevel"/>
    <w:tmpl w:val="25C0899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71E476A"/>
    <w:multiLevelType w:val="hybridMultilevel"/>
    <w:tmpl w:val="C1FEB612"/>
    <w:lvl w:ilvl="0" w:tplc="0C090013">
      <w:start w:val="1"/>
      <w:numFmt w:val="upperRoman"/>
      <w:lvlText w:val="%1."/>
      <w:lvlJc w:val="righ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35411650">
    <w:abstractNumId w:val="0"/>
  </w:num>
  <w:num w:numId="2" w16cid:durableId="1265069427">
    <w:abstractNumId w:val="3"/>
  </w:num>
  <w:num w:numId="3" w16cid:durableId="1076126358">
    <w:abstractNumId w:val="6"/>
  </w:num>
  <w:num w:numId="4" w16cid:durableId="2138713858">
    <w:abstractNumId w:val="5"/>
  </w:num>
  <w:num w:numId="5" w16cid:durableId="1369527249">
    <w:abstractNumId w:val="1"/>
  </w:num>
  <w:num w:numId="6" w16cid:durableId="1080443900">
    <w:abstractNumId w:val="2"/>
  </w:num>
  <w:num w:numId="7" w16cid:durableId="9825892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intFractionalCharacterWidth/>
  <w:hideGrammaticalErrors/>
  <w:activeWritingStyle w:appName="MSWord" w:lang="en-AU" w:vendorID="8" w:dllVersion="513" w:checkStyle="0"/>
  <w:proofState w:spelling="clean" w:grammar="clean"/>
  <w:defaultTabStop w:val="567"/>
  <w:doNotHyphenateCap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4AF"/>
    <w:rsid w:val="000A6940"/>
    <w:rsid w:val="000C4CEA"/>
    <w:rsid w:val="001B2C0C"/>
    <w:rsid w:val="001F751F"/>
    <w:rsid w:val="001F78EF"/>
    <w:rsid w:val="00234214"/>
    <w:rsid w:val="00235B4E"/>
    <w:rsid w:val="002F6148"/>
    <w:rsid w:val="00330B59"/>
    <w:rsid w:val="00391034"/>
    <w:rsid w:val="003D7DD1"/>
    <w:rsid w:val="00415F44"/>
    <w:rsid w:val="004255ED"/>
    <w:rsid w:val="00450684"/>
    <w:rsid w:val="004654AF"/>
    <w:rsid w:val="005E1CCE"/>
    <w:rsid w:val="00666C02"/>
    <w:rsid w:val="006E54E1"/>
    <w:rsid w:val="00715861"/>
    <w:rsid w:val="007402A4"/>
    <w:rsid w:val="00792162"/>
    <w:rsid w:val="00792173"/>
    <w:rsid w:val="007C3446"/>
    <w:rsid w:val="007E0121"/>
    <w:rsid w:val="008251AE"/>
    <w:rsid w:val="00836161"/>
    <w:rsid w:val="00845526"/>
    <w:rsid w:val="0086301E"/>
    <w:rsid w:val="009F0840"/>
    <w:rsid w:val="00A41767"/>
    <w:rsid w:val="00AA14B7"/>
    <w:rsid w:val="00B079DA"/>
    <w:rsid w:val="00B372D3"/>
    <w:rsid w:val="00B43351"/>
    <w:rsid w:val="00B679A4"/>
    <w:rsid w:val="00CD5D05"/>
    <w:rsid w:val="00D30BA1"/>
    <w:rsid w:val="00D440F4"/>
    <w:rsid w:val="00D64C38"/>
    <w:rsid w:val="00D65314"/>
    <w:rsid w:val="00D67B3B"/>
    <w:rsid w:val="00E62B93"/>
    <w:rsid w:val="00F03B35"/>
    <w:rsid w:val="00F8431D"/>
    <w:rsid w:val="00FA072E"/>
    <w:rsid w:val="00FA217F"/>
  </w:rsids>
  <m:mathPr>
    <m:mathFont m:val="Cambria Math"/>
    <m:brkBin m:val="before"/>
    <m:brkBinSub m:val="--"/>
    <m:smallFrac m:val="0"/>
    <m:dispDef/>
    <m:lMargin m:val="0"/>
    <m:rMargin m:val="0"/>
    <m:defJc m:val="centerGroup"/>
    <m:wrapIndent m:val="1440"/>
    <m:intLim m:val="subSup"/>
    <m:naryLim m:val="undOvr"/>
  </m:mathPr>
  <w:attachedSchema w:val="http://www.records.nsw.gov.au/schemas/RDA"/>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5FF96"/>
  <w15:docId w15:val="{6F250032-CA57-4682-A27D-ED516BBA7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rtugal" w:eastAsia="Times New Roman" w:hAnsi="Portugal"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54AF"/>
    <w:pPr>
      <w:spacing w:before="120" w:after="120"/>
    </w:pPr>
    <w:rPr>
      <w:rFonts w:ascii="Public Sans" w:hAnsi="Public Sans"/>
      <w:lang w:eastAsia="en-US"/>
    </w:rPr>
  </w:style>
  <w:style w:type="paragraph" w:styleId="Heading1">
    <w:name w:val="heading 1"/>
    <w:basedOn w:val="Normal"/>
    <w:next w:val="Normal"/>
    <w:qFormat/>
    <w:rsid w:val="004654AF"/>
    <w:pPr>
      <w:keepNext/>
      <w:spacing w:before="240"/>
      <w:ind w:left="709" w:hanging="709"/>
      <w:outlineLvl w:val="0"/>
    </w:pPr>
    <w:rPr>
      <w:b/>
      <w:sz w:val="24"/>
    </w:rPr>
  </w:style>
  <w:style w:type="paragraph" w:styleId="Heading2">
    <w:name w:val="heading 2"/>
    <w:basedOn w:val="Normal"/>
    <w:next w:val="Normal"/>
    <w:qFormat/>
    <w:rsid w:val="004654AF"/>
    <w:pPr>
      <w:keepNext/>
      <w:spacing w:before="180"/>
      <w:outlineLvl w:val="1"/>
    </w:pPr>
    <w:rPr>
      <w:b/>
      <w:sz w:val="22"/>
    </w:rPr>
  </w:style>
  <w:style w:type="paragraph" w:styleId="Heading3">
    <w:name w:val="heading 3"/>
    <w:basedOn w:val="Normal"/>
    <w:next w:val="Normal"/>
    <w:qFormat/>
    <w:rsid w:val="004654AF"/>
    <w:pPr>
      <w:keepNext/>
      <w:outlineLvl w:val="2"/>
    </w:pPr>
    <w:rPr>
      <w:b/>
    </w:rPr>
  </w:style>
  <w:style w:type="paragraph" w:styleId="Heading4">
    <w:name w:val="heading 4"/>
    <w:basedOn w:val="Normal"/>
    <w:next w:val="Normal"/>
    <w:qFormat/>
    <w:rsid w:val="004654AF"/>
    <w:pPr>
      <w:keepNext/>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H1">
    <w:name w:val="AR H1"/>
    <w:basedOn w:val="Heading1"/>
    <w:rsid w:val="00656F95"/>
    <w:pPr>
      <w:pBdr>
        <w:bottom w:val="single" w:sz="12" w:space="4" w:color="4F81BD"/>
      </w:pBdr>
      <w:spacing w:after="240" w:line="320" w:lineRule="atLeast"/>
      <w:ind w:left="0" w:firstLine="0"/>
    </w:pPr>
    <w:rPr>
      <w:color w:val="0070C0"/>
      <w:sz w:val="28"/>
      <w:szCs w:val="28"/>
    </w:rPr>
  </w:style>
  <w:style w:type="paragraph" w:customStyle="1" w:styleId="ARTitle">
    <w:name w:val="AR Title"/>
    <w:basedOn w:val="Title"/>
    <w:rsid w:val="00656F95"/>
    <w:pPr>
      <w:spacing w:before="360" w:after="240"/>
    </w:pPr>
    <w:rPr>
      <w:rFonts w:cs="Times New Roman"/>
      <w:bCs w:val="0"/>
      <w:color w:val="000000"/>
    </w:rPr>
  </w:style>
  <w:style w:type="paragraph" w:customStyle="1" w:styleId="ARParagraph">
    <w:name w:val="AR Paragraph"/>
    <w:rsid w:val="00FA3EC9"/>
    <w:pPr>
      <w:spacing w:before="200"/>
    </w:pPr>
    <w:rPr>
      <w:rFonts w:ascii="Public Sans" w:hAnsi="Public Sans"/>
      <w:sz w:val="22"/>
      <w:szCs w:val="22"/>
    </w:rPr>
  </w:style>
  <w:style w:type="paragraph" w:customStyle="1" w:styleId="ChapterHeading">
    <w:name w:val="Chapter Heading"/>
    <w:basedOn w:val="Normal"/>
    <w:rsid w:val="004654AF"/>
    <w:pPr>
      <w:pBdr>
        <w:bottom w:val="single" w:sz="4" w:space="1" w:color="auto"/>
      </w:pBdr>
      <w:ind w:left="709" w:hanging="709"/>
    </w:pPr>
    <w:rPr>
      <w:b/>
      <w:sz w:val="40"/>
    </w:rPr>
  </w:style>
  <w:style w:type="paragraph" w:styleId="Footer">
    <w:name w:val="footer"/>
    <w:basedOn w:val="Normal"/>
    <w:rsid w:val="004654AF"/>
    <w:pPr>
      <w:tabs>
        <w:tab w:val="right" w:pos="9072"/>
      </w:tabs>
      <w:spacing w:before="60" w:after="60"/>
    </w:pPr>
    <w:rPr>
      <w:sz w:val="18"/>
    </w:rPr>
  </w:style>
  <w:style w:type="paragraph" w:customStyle="1" w:styleId="FooterA4Shell">
    <w:name w:val="Footer A4 Shell"/>
    <w:basedOn w:val="Normal"/>
    <w:rsid w:val="004654AF"/>
    <w:pPr>
      <w:tabs>
        <w:tab w:val="right" w:pos="7655"/>
      </w:tabs>
    </w:pPr>
    <w:rPr>
      <w:sz w:val="18"/>
    </w:rPr>
  </w:style>
  <w:style w:type="character" w:styleId="FootnoteReference">
    <w:name w:val="footnote reference"/>
    <w:basedOn w:val="DefaultParagraphFont"/>
    <w:semiHidden/>
    <w:rsid w:val="004654AF"/>
    <w:rPr>
      <w:rFonts w:ascii="Public Sans" w:hAnsi="Public Sans"/>
      <w:sz w:val="18"/>
      <w:vertAlign w:val="superscript"/>
    </w:rPr>
  </w:style>
  <w:style w:type="paragraph" w:styleId="FootnoteText">
    <w:name w:val="footnote text"/>
    <w:basedOn w:val="Normal"/>
    <w:semiHidden/>
    <w:rsid w:val="004654AF"/>
    <w:pPr>
      <w:spacing w:before="0" w:after="0"/>
      <w:ind w:left="709" w:hanging="709"/>
    </w:pPr>
    <w:rPr>
      <w:sz w:val="18"/>
    </w:rPr>
  </w:style>
  <w:style w:type="paragraph" w:styleId="Header">
    <w:name w:val="header"/>
    <w:basedOn w:val="Normal"/>
    <w:rsid w:val="004654AF"/>
    <w:pPr>
      <w:tabs>
        <w:tab w:val="right" w:pos="9072"/>
      </w:tabs>
      <w:spacing w:before="0" w:after="0"/>
    </w:pPr>
    <w:rPr>
      <w:sz w:val="18"/>
    </w:rPr>
  </w:style>
  <w:style w:type="paragraph" w:customStyle="1" w:styleId="InternalHeader">
    <w:name w:val="Internal Header"/>
    <w:basedOn w:val="Normal"/>
    <w:rsid w:val="004654AF"/>
    <w:pPr>
      <w:jc w:val="center"/>
    </w:pPr>
    <w:rPr>
      <w:b/>
    </w:rPr>
  </w:style>
  <w:style w:type="paragraph" w:customStyle="1" w:styleId="InternalListNumber">
    <w:name w:val="Internal List Number"/>
    <w:basedOn w:val="Normal"/>
    <w:rsid w:val="004654AF"/>
    <w:pPr>
      <w:numPr>
        <w:numId w:val="2"/>
      </w:numPr>
      <w:spacing w:before="240"/>
    </w:pPr>
  </w:style>
  <w:style w:type="paragraph" w:customStyle="1" w:styleId="InternalSubheading">
    <w:name w:val="Internal Subheading"/>
    <w:basedOn w:val="Normal"/>
    <w:rsid w:val="004654AF"/>
    <w:pPr>
      <w:jc w:val="center"/>
    </w:pPr>
    <w:rPr>
      <w:b/>
    </w:rPr>
  </w:style>
  <w:style w:type="paragraph" w:customStyle="1" w:styleId="ListBullet1">
    <w:name w:val="List Bullet 1"/>
    <w:basedOn w:val="Normal"/>
    <w:rsid w:val="004654AF"/>
    <w:pPr>
      <w:tabs>
        <w:tab w:val="num" w:pos="709"/>
      </w:tabs>
      <w:spacing w:before="0"/>
      <w:ind w:left="709" w:hanging="709"/>
    </w:pPr>
  </w:style>
  <w:style w:type="paragraph" w:customStyle="1" w:styleId="Normalsingle">
    <w:name w:val="Normal single"/>
    <w:basedOn w:val="Normal"/>
    <w:rsid w:val="004654AF"/>
    <w:pPr>
      <w:spacing w:before="0" w:after="0"/>
    </w:pPr>
  </w:style>
  <w:style w:type="character" w:styleId="PageNumber">
    <w:name w:val="page number"/>
    <w:basedOn w:val="DefaultParagraphFont"/>
    <w:rsid w:val="004654AF"/>
    <w:rPr>
      <w:rFonts w:ascii="Public Sans" w:hAnsi="Public Sans"/>
      <w:sz w:val="18"/>
    </w:rPr>
  </w:style>
  <w:style w:type="paragraph" w:styleId="Subtitle">
    <w:name w:val="Subtitle"/>
    <w:basedOn w:val="Normal"/>
    <w:qFormat/>
    <w:rsid w:val="004654AF"/>
    <w:pPr>
      <w:jc w:val="center"/>
    </w:pPr>
    <w:rPr>
      <w:rFonts w:cs="Arial"/>
      <w:b/>
      <w:sz w:val="24"/>
      <w:szCs w:val="24"/>
    </w:rPr>
  </w:style>
  <w:style w:type="paragraph" w:styleId="Title">
    <w:name w:val="Title"/>
    <w:basedOn w:val="Normal"/>
    <w:qFormat/>
    <w:rsid w:val="004654AF"/>
    <w:pPr>
      <w:jc w:val="center"/>
    </w:pPr>
    <w:rPr>
      <w:rFonts w:cs="Arial"/>
      <w:b/>
      <w:bCs/>
      <w:sz w:val="32"/>
      <w:szCs w:val="32"/>
    </w:rPr>
  </w:style>
  <w:style w:type="paragraph" w:styleId="TOC1">
    <w:name w:val="toc 1"/>
    <w:basedOn w:val="Normal"/>
    <w:next w:val="Normal"/>
    <w:autoRedefine/>
    <w:semiHidden/>
    <w:rsid w:val="004654AF"/>
    <w:pPr>
      <w:tabs>
        <w:tab w:val="right" w:pos="9072"/>
      </w:tabs>
      <w:spacing w:before="80" w:after="80"/>
    </w:pPr>
    <w:rPr>
      <w:b/>
    </w:rPr>
  </w:style>
  <w:style w:type="paragraph" w:styleId="TOC2">
    <w:name w:val="toc 2"/>
    <w:basedOn w:val="Normal"/>
    <w:next w:val="Normal"/>
    <w:autoRedefine/>
    <w:semiHidden/>
    <w:rsid w:val="004654AF"/>
    <w:pPr>
      <w:tabs>
        <w:tab w:val="right" w:pos="9072"/>
      </w:tabs>
      <w:spacing w:before="80" w:after="80"/>
    </w:pPr>
  </w:style>
  <w:style w:type="table" w:styleId="TableGrid">
    <w:name w:val="Table Grid"/>
    <w:basedOn w:val="TableNormal"/>
    <w:rsid w:val="004654AF"/>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qFormat/>
    <w:rsid w:val="004654AF"/>
    <w:rPr>
      <w:i/>
      <w:iCs/>
    </w:rPr>
  </w:style>
  <w:style w:type="character" w:styleId="Hyperlink">
    <w:name w:val="Hyperlink"/>
    <w:basedOn w:val="DefaultParagraphFont"/>
    <w:rsid w:val="004654AF"/>
    <w:rPr>
      <w:rFonts w:ascii="Public Sans" w:hAnsi="Public Sans"/>
      <w:color w:val="0000FF"/>
      <w:sz w:val="20"/>
      <w:u w:val="single"/>
    </w:rPr>
  </w:style>
  <w:style w:type="paragraph" w:customStyle="1" w:styleId="Hidden">
    <w:name w:val="Hidden"/>
    <w:basedOn w:val="Normal"/>
    <w:link w:val="HiddenChar"/>
    <w:rsid w:val="004654AF"/>
    <w:rPr>
      <w:vanish/>
    </w:rPr>
  </w:style>
  <w:style w:type="character" w:customStyle="1" w:styleId="HiddenChar">
    <w:name w:val="Hidden Char"/>
    <w:basedOn w:val="DefaultParagraphFont"/>
    <w:link w:val="Hidden"/>
    <w:rsid w:val="004654AF"/>
    <w:rPr>
      <w:rFonts w:ascii="Public Sans" w:hAnsi="Public Sans"/>
      <w:color w:val="FFFFFF"/>
      <w:sz w:val="1"/>
    </w:rPr>
  </w:style>
  <w:style w:type="paragraph" w:styleId="BalloonText">
    <w:name w:val="Balloon Text"/>
    <w:basedOn w:val="Normal"/>
    <w:link w:val="BalloonTextChar"/>
    <w:rsid w:val="008251AE"/>
    <w:pPr>
      <w:spacing w:before="0" w:after="0"/>
    </w:pPr>
    <w:rPr>
      <w:rFonts w:ascii="Tahoma" w:hAnsi="Tahoma" w:cs="Tahoma"/>
      <w:sz w:val="16"/>
      <w:szCs w:val="16"/>
    </w:rPr>
  </w:style>
  <w:style w:type="character" w:customStyle="1" w:styleId="BalloonTextChar">
    <w:name w:val="Balloon Text Char"/>
    <w:basedOn w:val="DefaultParagraphFont"/>
    <w:link w:val="BalloonText"/>
    <w:rsid w:val="008251AE"/>
    <w:rPr>
      <w:rFonts w:ascii="Tahoma" w:hAnsi="Tahoma" w:cs="Tahoma"/>
      <w:sz w:val="16"/>
      <w:szCs w:val="16"/>
      <w:lang w:eastAsia="en-US"/>
    </w:rPr>
  </w:style>
  <w:style w:type="table" w:customStyle="1" w:styleId="TableGrid1">
    <w:name w:val="Table Grid1"/>
    <w:basedOn w:val="TableNormal"/>
    <w:next w:val="TableGrid"/>
    <w:uiPriority w:val="39"/>
    <w:rsid w:val="00F8431D"/>
    <w:rPr>
      <w:rFonts w:ascii="Public Sans Light" w:eastAsia="Public Sans Light" w:hAnsi="Public Sans Light"/>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A14B7"/>
    <w:pPr>
      <w:ind w:left="720"/>
      <w:contextualSpacing/>
    </w:pPr>
    <w:rPr>
      <w:rFonts w:ascii="Public Sans" w:hAnsi="Public Sans"/>
      <w:lang w:eastAsia="en-AU"/>
    </w:rPr>
  </w:style>
  <w:style w:type="character" w:styleId="PlaceholderText">
    <w:name w:val="Placeholder Text"/>
    <w:basedOn w:val="DefaultParagraphFont"/>
    <w:uiPriority w:val="99"/>
    <w:semiHidden/>
    <w:rsid w:val="00B679A4"/>
    <w:rPr>
      <w:color w:val="666666"/>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